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CC" w:rsidRPr="002550A5" w:rsidRDefault="00854ACC" w:rsidP="002550A5">
      <w:pPr>
        <w:jc w:val="center"/>
        <w:rPr>
          <w:rFonts w:ascii="Arial" w:hAnsi="Arial"/>
          <w:b/>
          <w:sz w:val="22"/>
        </w:rPr>
      </w:pPr>
      <w:r w:rsidRPr="002550A5">
        <w:rPr>
          <w:rFonts w:ascii="Arial" w:hAnsi="Arial"/>
          <w:b/>
          <w:sz w:val="22"/>
        </w:rPr>
        <w:t>The relation between the Charter and the Convention – how to solve conflicts?</w:t>
      </w:r>
    </w:p>
    <w:p w:rsidR="0050428C" w:rsidRDefault="0050428C" w:rsidP="003F5665">
      <w:pPr>
        <w:jc w:val="center"/>
        <w:rPr>
          <w:rFonts w:ascii="Arial" w:hAnsi="Arial"/>
          <w:b/>
          <w:sz w:val="22"/>
        </w:rPr>
      </w:pPr>
    </w:p>
    <w:p w:rsidR="00A3123C" w:rsidRPr="00A3123C" w:rsidRDefault="00A3123C" w:rsidP="003F5665">
      <w:pPr>
        <w:jc w:val="center"/>
        <w:rPr>
          <w:rFonts w:ascii="Arial" w:hAnsi="Arial"/>
          <w:b/>
          <w:sz w:val="22"/>
        </w:rPr>
      </w:pPr>
      <w:r w:rsidRPr="00A3123C">
        <w:rPr>
          <w:rFonts w:ascii="Arial" w:hAnsi="Arial"/>
          <w:b/>
          <w:sz w:val="22"/>
        </w:rPr>
        <w:t>Summary</w:t>
      </w:r>
    </w:p>
    <w:p w:rsidR="009458BA" w:rsidRPr="002550A5" w:rsidRDefault="00F20E89" w:rsidP="0065593C">
      <w:pPr>
        <w:spacing w:before="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order to answer </w:t>
      </w:r>
      <w:r w:rsidR="009217E3">
        <w:rPr>
          <w:rFonts w:ascii="Arial" w:hAnsi="Arial"/>
          <w:sz w:val="22"/>
        </w:rPr>
        <w:t>this question</w:t>
      </w:r>
      <w:r w:rsidR="00872CAE" w:rsidRPr="002550A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it is necessary </w:t>
      </w:r>
      <w:r w:rsidR="009217E3">
        <w:rPr>
          <w:rFonts w:ascii="Arial" w:hAnsi="Arial"/>
          <w:sz w:val="22"/>
        </w:rPr>
        <w:t xml:space="preserve">to </w:t>
      </w:r>
      <w:r>
        <w:rPr>
          <w:rFonts w:ascii="Arial" w:hAnsi="Arial"/>
          <w:sz w:val="22"/>
        </w:rPr>
        <w:t xml:space="preserve">shift </w:t>
      </w:r>
      <w:r w:rsidR="0065593C">
        <w:rPr>
          <w:rFonts w:ascii="Arial" w:hAnsi="Arial"/>
          <w:sz w:val="22"/>
        </w:rPr>
        <w:t xml:space="preserve">it </w:t>
      </w:r>
      <w:r>
        <w:rPr>
          <w:rFonts w:ascii="Arial" w:hAnsi="Arial"/>
          <w:sz w:val="22"/>
        </w:rPr>
        <w:t xml:space="preserve">into </w:t>
      </w:r>
      <w:r w:rsidR="009217E3">
        <w:rPr>
          <w:rFonts w:ascii="Arial" w:hAnsi="Arial"/>
          <w:sz w:val="22"/>
        </w:rPr>
        <w:t xml:space="preserve">the broader </w:t>
      </w:r>
      <w:r>
        <w:rPr>
          <w:rFonts w:ascii="Arial" w:hAnsi="Arial"/>
          <w:sz w:val="22"/>
        </w:rPr>
        <w:t xml:space="preserve">context </w:t>
      </w:r>
      <w:r w:rsidR="009217E3">
        <w:rPr>
          <w:rFonts w:ascii="Arial" w:hAnsi="Arial"/>
          <w:sz w:val="22"/>
        </w:rPr>
        <w:t xml:space="preserve">of </w:t>
      </w:r>
      <w:r w:rsidR="00872CAE" w:rsidRPr="002550A5">
        <w:rPr>
          <w:rFonts w:ascii="Arial" w:hAnsi="Arial"/>
          <w:sz w:val="22"/>
        </w:rPr>
        <w:t>p</w:t>
      </w:r>
      <w:r w:rsidR="009458BA" w:rsidRPr="002550A5">
        <w:rPr>
          <w:rFonts w:ascii="Arial" w:hAnsi="Arial"/>
          <w:sz w:val="22"/>
        </w:rPr>
        <w:t xml:space="preserve">reventing and solving conflicts between fundamental rights stemming from different legal sources within a composite and multilevel system called “European Area </w:t>
      </w:r>
      <w:r w:rsidR="00900ACA">
        <w:rPr>
          <w:rFonts w:ascii="Arial" w:hAnsi="Arial"/>
          <w:sz w:val="22"/>
        </w:rPr>
        <w:t>of Fundamental Rights” (</w:t>
      </w:r>
      <w:r w:rsidR="009458BA" w:rsidRPr="002550A5">
        <w:rPr>
          <w:rFonts w:ascii="Arial" w:hAnsi="Arial"/>
          <w:sz w:val="22"/>
        </w:rPr>
        <w:t>Reding)</w:t>
      </w:r>
      <w:r w:rsidR="00872CAE" w:rsidRPr="002550A5">
        <w:rPr>
          <w:rFonts w:ascii="Arial" w:hAnsi="Arial"/>
          <w:sz w:val="22"/>
        </w:rPr>
        <w:t>.</w:t>
      </w:r>
    </w:p>
    <w:p w:rsidR="00872CAE" w:rsidRPr="002550A5" w:rsidRDefault="00471C78" w:rsidP="0065593C">
      <w:pPr>
        <w:spacing w:before="60"/>
        <w:jc w:val="both"/>
        <w:rPr>
          <w:rFonts w:ascii="Arial" w:hAnsi="Arial"/>
          <w:sz w:val="22"/>
        </w:rPr>
      </w:pPr>
      <w:r w:rsidRPr="002550A5">
        <w:rPr>
          <w:rFonts w:ascii="Arial" w:hAnsi="Arial"/>
          <w:sz w:val="22"/>
        </w:rPr>
        <w:t xml:space="preserve">The relation between the rights enshrined in the ECHR and the rights and principles </w:t>
      </w:r>
      <w:r w:rsidR="00FE063A" w:rsidRPr="002550A5">
        <w:rPr>
          <w:rFonts w:ascii="Arial" w:hAnsi="Arial"/>
          <w:sz w:val="22"/>
        </w:rPr>
        <w:t>“</w:t>
      </w:r>
      <w:r w:rsidR="00BA4AB7" w:rsidRPr="002550A5">
        <w:rPr>
          <w:rFonts w:ascii="Arial" w:hAnsi="Arial"/>
          <w:sz w:val="22"/>
        </w:rPr>
        <w:t>reaffirmed</w:t>
      </w:r>
      <w:r w:rsidR="00FE063A" w:rsidRPr="002550A5">
        <w:rPr>
          <w:rFonts w:ascii="Arial" w:hAnsi="Arial"/>
          <w:sz w:val="22"/>
        </w:rPr>
        <w:t>”</w:t>
      </w:r>
      <w:r w:rsidR="00BA4AB7" w:rsidRPr="002550A5">
        <w:rPr>
          <w:rFonts w:ascii="Arial" w:hAnsi="Arial"/>
          <w:sz w:val="22"/>
        </w:rPr>
        <w:t xml:space="preserve"> </w:t>
      </w:r>
      <w:r w:rsidRPr="002550A5">
        <w:rPr>
          <w:rFonts w:ascii="Arial" w:hAnsi="Arial"/>
          <w:sz w:val="22"/>
        </w:rPr>
        <w:t xml:space="preserve">by the EU Charter </w:t>
      </w:r>
      <w:r w:rsidR="00BA4AB7" w:rsidRPr="002550A5">
        <w:rPr>
          <w:rFonts w:ascii="Arial" w:hAnsi="Arial"/>
          <w:sz w:val="22"/>
        </w:rPr>
        <w:t xml:space="preserve">is </w:t>
      </w:r>
      <w:r w:rsidR="00F20E89" w:rsidRPr="002550A5">
        <w:rPr>
          <w:rFonts w:ascii="Arial" w:hAnsi="Arial"/>
          <w:sz w:val="22"/>
        </w:rPr>
        <w:t>challenging</w:t>
      </w:r>
      <w:r w:rsidR="00F20E89">
        <w:rPr>
          <w:rFonts w:ascii="Arial" w:hAnsi="Arial"/>
          <w:sz w:val="22"/>
        </w:rPr>
        <w:t>, in</w:t>
      </w:r>
      <w:r w:rsidR="00F20E89" w:rsidRPr="002550A5">
        <w:rPr>
          <w:rFonts w:ascii="Arial" w:hAnsi="Arial"/>
          <w:sz w:val="22"/>
        </w:rPr>
        <w:t xml:space="preserve"> </w:t>
      </w:r>
      <w:r w:rsidR="00F20E89">
        <w:rPr>
          <w:rFonts w:ascii="Arial" w:hAnsi="Arial"/>
          <w:sz w:val="22"/>
        </w:rPr>
        <w:t>particular</w:t>
      </w:r>
      <w:r w:rsidR="00BA4AB7" w:rsidRPr="002550A5">
        <w:rPr>
          <w:rFonts w:ascii="Arial" w:hAnsi="Arial"/>
          <w:sz w:val="22"/>
        </w:rPr>
        <w:t xml:space="preserve"> </w:t>
      </w:r>
      <w:r w:rsidR="00FE063A" w:rsidRPr="002550A5">
        <w:rPr>
          <w:rFonts w:ascii="Arial" w:hAnsi="Arial"/>
          <w:sz w:val="22"/>
        </w:rPr>
        <w:t>because of the nu</w:t>
      </w:r>
      <w:r w:rsidR="00D731F1" w:rsidRPr="002550A5">
        <w:rPr>
          <w:rFonts w:ascii="Arial" w:hAnsi="Arial"/>
          <w:sz w:val="22"/>
        </w:rPr>
        <w:t xml:space="preserve">merous “corresponding” rights. </w:t>
      </w:r>
      <w:r w:rsidR="00F20E89">
        <w:rPr>
          <w:rFonts w:ascii="Arial" w:hAnsi="Arial"/>
          <w:sz w:val="22"/>
        </w:rPr>
        <w:t>Tho</w:t>
      </w:r>
      <w:r w:rsidR="00FE063A" w:rsidRPr="002550A5">
        <w:rPr>
          <w:rFonts w:ascii="Arial" w:hAnsi="Arial"/>
          <w:sz w:val="22"/>
        </w:rPr>
        <w:t xml:space="preserve">se </w:t>
      </w:r>
      <w:r w:rsidR="00F20E89">
        <w:rPr>
          <w:rFonts w:ascii="Arial" w:hAnsi="Arial"/>
          <w:sz w:val="22"/>
        </w:rPr>
        <w:t xml:space="preserve">rights, </w:t>
      </w:r>
      <w:r w:rsidR="00D731F1" w:rsidRPr="002550A5">
        <w:rPr>
          <w:rFonts w:ascii="Arial" w:hAnsi="Arial"/>
          <w:sz w:val="22"/>
        </w:rPr>
        <w:t>however</w:t>
      </w:r>
      <w:r w:rsidR="00F20E89">
        <w:rPr>
          <w:rFonts w:ascii="Arial" w:hAnsi="Arial"/>
          <w:sz w:val="22"/>
        </w:rPr>
        <w:t>, have</w:t>
      </w:r>
      <w:r w:rsidR="00D731F1" w:rsidRPr="002550A5">
        <w:rPr>
          <w:rFonts w:ascii="Arial" w:hAnsi="Arial"/>
          <w:sz w:val="22"/>
        </w:rPr>
        <w:t xml:space="preserve"> </w:t>
      </w:r>
      <w:r w:rsidR="00FE063A" w:rsidRPr="002550A5">
        <w:rPr>
          <w:rFonts w:ascii="Arial" w:hAnsi="Arial"/>
          <w:sz w:val="22"/>
        </w:rPr>
        <w:t>to be divided in two groups</w:t>
      </w:r>
      <w:r w:rsidR="00D731F1" w:rsidRPr="002550A5">
        <w:rPr>
          <w:rFonts w:ascii="Arial" w:hAnsi="Arial"/>
          <w:sz w:val="22"/>
        </w:rPr>
        <w:t>. According to the explanations joint to the Charter, there are indeed “</w:t>
      </w:r>
      <w:r w:rsidR="00F20E89">
        <w:rPr>
          <w:rFonts w:ascii="Arial" w:hAnsi="Arial"/>
          <w:sz w:val="22"/>
        </w:rPr>
        <w:t>a</w:t>
      </w:r>
      <w:r w:rsidR="00FE063A" w:rsidRPr="002550A5">
        <w:rPr>
          <w:rFonts w:ascii="Arial" w:hAnsi="Arial"/>
          <w:sz w:val="22"/>
        </w:rPr>
        <w:t>rticles of the Charter where both the meaning and the scope are the same as the corres</w:t>
      </w:r>
      <w:r w:rsidR="00F20E89">
        <w:rPr>
          <w:rFonts w:ascii="Arial" w:hAnsi="Arial"/>
          <w:sz w:val="22"/>
        </w:rPr>
        <w:t>ponding a</w:t>
      </w:r>
      <w:r w:rsidR="00FE063A" w:rsidRPr="002550A5">
        <w:rPr>
          <w:rFonts w:ascii="Arial" w:hAnsi="Arial"/>
          <w:sz w:val="22"/>
        </w:rPr>
        <w:t>rticles of the ECHR</w:t>
      </w:r>
      <w:r w:rsidR="00F20E89">
        <w:rPr>
          <w:rFonts w:ascii="Arial" w:hAnsi="Arial"/>
          <w:sz w:val="22"/>
        </w:rPr>
        <w:t>” but also “a</w:t>
      </w:r>
      <w:r w:rsidR="00D731F1" w:rsidRPr="002550A5">
        <w:rPr>
          <w:rFonts w:ascii="Arial" w:hAnsi="Arial"/>
          <w:sz w:val="22"/>
        </w:rPr>
        <w:t>rticles where the meaning is</w:t>
      </w:r>
      <w:r w:rsidR="00F20E89">
        <w:rPr>
          <w:rFonts w:ascii="Arial" w:hAnsi="Arial"/>
          <w:sz w:val="22"/>
        </w:rPr>
        <w:t xml:space="preserve"> the same as the corresponding a</w:t>
      </w:r>
      <w:r w:rsidR="00D731F1" w:rsidRPr="002550A5">
        <w:rPr>
          <w:rFonts w:ascii="Arial" w:hAnsi="Arial"/>
          <w:sz w:val="22"/>
        </w:rPr>
        <w:t>rticles of the ECHR, but where the scope is wider”.</w:t>
      </w:r>
      <w:r w:rsidR="0065593C">
        <w:rPr>
          <w:rFonts w:ascii="Arial" w:hAnsi="Arial"/>
          <w:sz w:val="22"/>
        </w:rPr>
        <w:t xml:space="preserve"> Furthermore</w:t>
      </w:r>
      <w:r w:rsidR="00F20E89">
        <w:rPr>
          <w:rFonts w:ascii="Arial" w:hAnsi="Arial"/>
          <w:sz w:val="22"/>
        </w:rPr>
        <w:t>,</w:t>
      </w:r>
      <w:r w:rsidR="0065593C">
        <w:rPr>
          <w:rFonts w:ascii="Arial" w:hAnsi="Arial"/>
          <w:sz w:val="22"/>
        </w:rPr>
        <w:t xml:space="preserve"> some of these “corresponding” rights do </w:t>
      </w:r>
      <w:r w:rsidR="005D12A0">
        <w:rPr>
          <w:rFonts w:ascii="Arial" w:hAnsi="Arial"/>
          <w:sz w:val="22"/>
        </w:rPr>
        <w:t>in addition</w:t>
      </w:r>
      <w:r w:rsidR="0065593C">
        <w:rPr>
          <w:rFonts w:ascii="Arial" w:hAnsi="Arial"/>
          <w:sz w:val="22"/>
        </w:rPr>
        <w:t xml:space="preserve"> </w:t>
      </w:r>
      <w:r w:rsidR="005D12A0">
        <w:rPr>
          <w:rFonts w:ascii="Arial" w:hAnsi="Arial"/>
          <w:sz w:val="22"/>
        </w:rPr>
        <w:t>correspond with rights resulting from the common constitutional traditions of the member states.</w:t>
      </w:r>
    </w:p>
    <w:p w:rsidR="000E54CE" w:rsidRPr="002550A5" w:rsidRDefault="00872CAE" w:rsidP="0065593C">
      <w:pPr>
        <w:spacing w:before="60"/>
        <w:jc w:val="both"/>
        <w:rPr>
          <w:rFonts w:ascii="Arial" w:hAnsi="Arial"/>
          <w:sz w:val="22"/>
        </w:rPr>
      </w:pPr>
      <w:r w:rsidRPr="002550A5">
        <w:rPr>
          <w:rFonts w:ascii="Arial" w:hAnsi="Arial"/>
          <w:sz w:val="22"/>
        </w:rPr>
        <w:t xml:space="preserve">Different types of </w:t>
      </w:r>
      <w:r w:rsidR="00A3123C">
        <w:rPr>
          <w:rFonts w:ascii="Arial" w:hAnsi="Arial"/>
          <w:sz w:val="22"/>
        </w:rPr>
        <w:t xml:space="preserve">conflicts, divergences or </w:t>
      </w:r>
      <w:r w:rsidRPr="002550A5">
        <w:rPr>
          <w:rFonts w:ascii="Arial" w:hAnsi="Arial"/>
          <w:sz w:val="22"/>
        </w:rPr>
        <w:t xml:space="preserve">collisions are </w:t>
      </w:r>
      <w:r w:rsidR="006C024E">
        <w:rPr>
          <w:rFonts w:ascii="Arial" w:hAnsi="Arial"/>
          <w:sz w:val="22"/>
        </w:rPr>
        <w:t xml:space="preserve">thus </w:t>
      </w:r>
      <w:r w:rsidRPr="002550A5">
        <w:rPr>
          <w:rFonts w:ascii="Arial" w:hAnsi="Arial"/>
          <w:sz w:val="22"/>
        </w:rPr>
        <w:t>likely to occur</w:t>
      </w:r>
      <w:r w:rsidR="005D12A0">
        <w:rPr>
          <w:rFonts w:ascii="Arial" w:hAnsi="Arial"/>
          <w:sz w:val="22"/>
        </w:rPr>
        <w:t>, notably</w:t>
      </w:r>
      <w:r w:rsidRPr="002550A5">
        <w:rPr>
          <w:rFonts w:ascii="Arial" w:hAnsi="Arial"/>
          <w:sz w:val="22"/>
        </w:rPr>
        <w:t xml:space="preserve">: </w:t>
      </w:r>
      <w:r w:rsidR="005D12A0">
        <w:rPr>
          <w:rFonts w:ascii="Arial" w:hAnsi="Arial"/>
          <w:sz w:val="22"/>
        </w:rPr>
        <w:t>(1</w:t>
      </w:r>
      <w:r w:rsidR="005D12A0" w:rsidRPr="005D12A0">
        <w:rPr>
          <w:rFonts w:ascii="Arial" w:hAnsi="Arial"/>
          <w:sz w:val="22"/>
          <w:vertAlign w:val="superscript"/>
        </w:rPr>
        <w:t>st</w:t>
      </w:r>
      <w:r w:rsidR="005D12A0">
        <w:rPr>
          <w:rFonts w:ascii="Arial" w:hAnsi="Arial"/>
          <w:sz w:val="22"/>
        </w:rPr>
        <w:t xml:space="preserve">) </w:t>
      </w:r>
      <w:r w:rsidR="00322153" w:rsidRPr="002550A5">
        <w:rPr>
          <w:rFonts w:ascii="Arial" w:hAnsi="Arial"/>
          <w:sz w:val="22"/>
        </w:rPr>
        <w:t>divergence</w:t>
      </w:r>
      <w:r w:rsidR="005D12A0">
        <w:rPr>
          <w:rFonts w:ascii="Arial" w:hAnsi="Arial"/>
          <w:sz w:val="22"/>
        </w:rPr>
        <w:t>s</w:t>
      </w:r>
      <w:r w:rsidR="00322153" w:rsidRPr="002550A5">
        <w:rPr>
          <w:rFonts w:ascii="Arial" w:hAnsi="Arial"/>
          <w:sz w:val="22"/>
        </w:rPr>
        <w:t xml:space="preserve"> </w:t>
      </w:r>
      <w:r w:rsidR="00900ACA">
        <w:rPr>
          <w:rFonts w:ascii="Arial" w:hAnsi="Arial"/>
          <w:sz w:val="22"/>
        </w:rPr>
        <w:t xml:space="preserve">on </w:t>
      </w:r>
      <w:r w:rsidR="00322153" w:rsidRPr="002550A5">
        <w:rPr>
          <w:rFonts w:ascii="Arial" w:hAnsi="Arial"/>
          <w:sz w:val="22"/>
        </w:rPr>
        <w:t>the substance or the scope of one particular right affirmed in both instruments</w:t>
      </w:r>
      <w:r w:rsidR="005D12A0">
        <w:rPr>
          <w:rFonts w:ascii="Arial" w:hAnsi="Arial"/>
          <w:sz w:val="22"/>
        </w:rPr>
        <w:t>, (2</w:t>
      </w:r>
      <w:r w:rsidR="005D12A0" w:rsidRPr="005D12A0">
        <w:rPr>
          <w:rFonts w:ascii="Arial" w:hAnsi="Arial"/>
          <w:sz w:val="22"/>
          <w:vertAlign w:val="superscript"/>
        </w:rPr>
        <w:t>nd</w:t>
      </w:r>
      <w:r w:rsidR="005D12A0">
        <w:rPr>
          <w:rFonts w:ascii="Arial" w:hAnsi="Arial"/>
          <w:sz w:val="22"/>
        </w:rPr>
        <w:t>)</w:t>
      </w:r>
      <w:r w:rsidR="00322153" w:rsidRPr="002550A5">
        <w:rPr>
          <w:rFonts w:ascii="Arial" w:hAnsi="Arial"/>
          <w:sz w:val="22"/>
        </w:rPr>
        <w:t xml:space="preserve"> </w:t>
      </w:r>
      <w:r w:rsidR="000E54CE" w:rsidRPr="002550A5">
        <w:rPr>
          <w:rFonts w:ascii="Arial" w:hAnsi="Arial"/>
          <w:sz w:val="22"/>
        </w:rPr>
        <w:t>collision</w:t>
      </w:r>
      <w:r w:rsidR="005D12A0">
        <w:rPr>
          <w:rFonts w:ascii="Arial" w:hAnsi="Arial"/>
          <w:sz w:val="22"/>
        </w:rPr>
        <w:t>s</w:t>
      </w:r>
      <w:r w:rsidR="000E54CE" w:rsidRPr="002550A5">
        <w:rPr>
          <w:rFonts w:ascii="Arial" w:hAnsi="Arial"/>
          <w:sz w:val="22"/>
        </w:rPr>
        <w:t xml:space="preserve"> between two </w:t>
      </w:r>
      <w:r w:rsidR="00040456" w:rsidRPr="002550A5">
        <w:rPr>
          <w:rFonts w:ascii="Arial" w:hAnsi="Arial"/>
          <w:sz w:val="22"/>
        </w:rPr>
        <w:t>conflicting</w:t>
      </w:r>
      <w:r w:rsidR="005D12A0">
        <w:rPr>
          <w:rFonts w:ascii="Arial" w:hAnsi="Arial"/>
          <w:sz w:val="22"/>
        </w:rPr>
        <w:t xml:space="preserve"> rights, freedoms or principles, (3</w:t>
      </w:r>
      <w:r w:rsidR="005D12A0" w:rsidRPr="005D12A0">
        <w:rPr>
          <w:rFonts w:ascii="Arial" w:hAnsi="Arial"/>
          <w:sz w:val="22"/>
          <w:vertAlign w:val="superscript"/>
        </w:rPr>
        <w:t>rd</w:t>
      </w:r>
      <w:r w:rsidR="005D12A0">
        <w:rPr>
          <w:rFonts w:ascii="Arial" w:hAnsi="Arial"/>
          <w:sz w:val="22"/>
        </w:rPr>
        <w:t>)</w:t>
      </w:r>
      <w:r w:rsidR="00040456" w:rsidRPr="002550A5">
        <w:rPr>
          <w:rFonts w:ascii="Arial" w:hAnsi="Arial"/>
          <w:sz w:val="22"/>
        </w:rPr>
        <w:t xml:space="preserve"> </w:t>
      </w:r>
      <w:r w:rsidR="005D12A0" w:rsidRPr="002550A5">
        <w:rPr>
          <w:rFonts w:ascii="Arial" w:hAnsi="Arial"/>
          <w:sz w:val="22"/>
        </w:rPr>
        <w:t>difference</w:t>
      </w:r>
      <w:r w:rsidR="00900ACA">
        <w:rPr>
          <w:rFonts w:ascii="Arial" w:hAnsi="Arial"/>
          <w:sz w:val="22"/>
        </w:rPr>
        <w:t xml:space="preserve">s concerning </w:t>
      </w:r>
      <w:r w:rsidR="00F87790" w:rsidRPr="002550A5">
        <w:rPr>
          <w:rFonts w:ascii="Arial" w:hAnsi="Arial"/>
          <w:sz w:val="22"/>
        </w:rPr>
        <w:t>access to court and the level of effective judicial protection</w:t>
      </w:r>
      <w:r w:rsidR="005D12A0">
        <w:rPr>
          <w:rFonts w:ascii="Arial" w:hAnsi="Arial"/>
          <w:sz w:val="22"/>
        </w:rPr>
        <w:t xml:space="preserve"> and (4</w:t>
      </w:r>
      <w:r w:rsidR="005D12A0" w:rsidRPr="005D12A0">
        <w:rPr>
          <w:rFonts w:ascii="Arial" w:hAnsi="Arial"/>
          <w:sz w:val="22"/>
          <w:vertAlign w:val="superscript"/>
        </w:rPr>
        <w:t>th</w:t>
      </w:r>
      <w:r w:rsidR="005D12A0">
        <w:rPr>
          <w:rFonts w:ascii="Arial" w:hAnsi="Arial"/>
          <w:sz w:val="22"/>
        </w:rPr>
        <w:t>)</w:t>
      </w:r>
      <w:r w:rsidR="00696BEE" w:rsidRPr="002550A5">
        <w:rPr>
          <w:rFonts w:ascii="Arial" w:hAnsi="Arial"/>
          <w:sz w:val="22"/>
        </w:rPr>
        <w:t xml:space="preserve"> a potential “negative” conflict </w:t>
      </w:r>
      <w:r w:rsidR="00900ACA" w:rsidRPr="002550A5">
        <w:rPr>
          <w:rFonts w:ascii="Arial" w:hAnsi="Arial"/>
          <w:sz w:val="22"/>
        </w:rPr>
        <w:t>regarding</w:t>
      </w:r>
      <w:r w:rsidR="00696BEE" w:rsidRPr="002550A5">
        <w:rPr>
          <w:rFonts w:ascii="Arial" w:hAnsi="Arial"/>
          <w:sz w:val="22"/>
        </w:rPr>
        <w:t xml:space="preserve"> the exclusive competence of both the ECJ (article 344 TFEU) and the ECtHR (article 55 ECHR)</w:t>
      </w:r>
      <w:r w:rsidR="005D12A0">
        <w:rPr>
          <w:rFonts w:ascii="Arial" w:hAnsi="Arial"/>
          <w:sz w:val="22"/>
        </w:rPr>
        <w:t>.</w:t>
      </w:r>
    </w:p>
    <w:p w:rsidR="00F76C07" w:rsidRPr="002550A5" w:rsidRDefault="00900ACA" w:rsidP="0065593C">
      <w:pPr>
        <w:spacing w:before="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Pr="002550A5">
        <w:rPr>
          <w:rFonts w:ascii="Arial" w:hAnsi="Arial"/>
          <w:sz w:val="22"/>
        </w:rPr>
        <w:t>ainly</w:t>
      </w:r>
      <w:r>
        <w:rPr>
          <w:rFonts w:ascii="Arial" w:hAnsi="Arial"/>
          <w:sz w:val="22"/>
        </w:rPr>
        <w:t>,</w:t>
      </w:r>
      <w:r w:rsidRPr="002550A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</w:t>
      </w:r>
      <w:r w:rsidR="00350BDD" w:rsidRPr="002550A5">
        <w:rPr>
          <w:rFonts w:ascii="Arial" w:hAnsi="Arial"/>
          <w:sz w:val="22"/>
        </w:rPr>
        <w:t>t will be a</w:t>
      </w:r>
      <w:r w:rsidR="00D731F1" w:rsidRPr="002550A5">
        <w:rPr>
          <w:rFonts w:ascii="Arial" w:hAnsi="Arial"/>
          <w:sz w:val="22"/>
        </w:rPr>
        <w:t xml:space="preserve"> </w:t>
      </w:r>
      <w:r w:rsidR="00350BDD" w:rsidRPr="002550A5">
        <w:rPr>
          <w:rFonts w:ascii="Arial" w:hAnsi="Arial"/>
          <w:sz w:val="22"/>
        </w:rPr>
        <w:t>task</w:t>
      </w:r>
      <w:r w:rsidR="00D731F1" w:rsidRPr="002550A5">
        <w:rPr>
          <w:rFonts w:ascii="Arial" w:hAnsi="Arial"/>
          <w:sz w:val="22"/>
        </w:rPr>
        <w:t xml:space="preserve"> </w:t>
      </w:r>
      <w:r w:rsidR="00350BDD" w:rsidRPr="002550A5">
        <w:rPr>
          <w:rFonts w:ascii="Arial" w:hAnsi="Arial"/>
          <w:sz w:val="22"/>
        </w:rPr>
        <w:t xml:space="preserve">of the courts </w:t>
      </w:r>
      <w:r w:rsidR="00D731F1" w:rsidRPr="002550A5">
        <w:rPr>
          <w:rFonts w:ascii="Arial" w:hAnsi="Arial"/>
          <w:sz w:val="22"/>
        </w:rPr>
        <w:t xml:space="preserve">to avoid, </w:t>
      </w:r>
      <w:r w:rsidR="00350BDD" w:rsidRPr="002550A5">
        <w:rPr>
          <w:rFonts w:ascii="Arial" w:hAnsi="Arial"/>
          <w:sz w:val="22"/>
        </w:rPr>
        <w:t xml:space="preserve">to </w:t>
      </w:r>
      <w:r w:rsidR="00D731F1" w:rsidRPr="002550A5">
        <w:rPr>
          <w:rFonts w:ascii="Arial" w:hAnsi="Arial"/>
          <w:sz w:val="22"/>
        </w:rPr>
        <w:t xml:space="preserve">prevent and </w:t>
      </w:r>
      <w:r w:rsidR="00350BDD" w:rsidRPr="002550A5">
        <w:rPr>
          <w:rFonts w:ascii="Arial" w:hAnsi="Arial"/>
          <w:sz w:val="22"/>
        </w:rPr>
        <w:t xml:space="preserve">to </w:t>
      </w:r>
      <w:r w:rsidR="00D731F1" w:rsidRPr="002550A5">
        <w:rPr>
          <w:rFonts w:ascii="Arial" w:hAnsi="Arial"/>
          <w:sz w:val="22"/>
        </w:rPr>
        <w:t xml:space="preserve">solve conflicts </w:t>
      </w:r>
      <w:r w:rsidR="00350BDD" w:rsidRPr="002550A5">
        <w:rPr>
          <w:rFonts w:ascii="Arial" w:hAnsi="Arial"/>
          <w:sz w:val="22"/>
        </w:rPr>
        <w:t>in the application and the interpretation of both instruments. Within the European Area of Fund</w:t>
      </w:r>
      <w:r w:rsidR="003755B8" w:rsidRPr="002550A5">
        <w:rPr>
          <w:rFonts w:ascii="Arial" w:hAnsi="Arial"/>
          <w:sz w:val="22"/>
        </w:rPr>
        <w:t xml:space="preserve">amental Rights there is </w:t>
      </w:r>
      <w:r>
        <w:rPr>
          <w:rFonts w:ascii="Arial" w:hAnsi="Arial"/>
          <w:sz w:val="22"/>
        </w:rPr>
        <w:t xml:space="preserve">indeed </w:t>
      </w:r>
      <w:r w:rsidR="003755B8" w:rsidRPr="002550A5">
        <w:rPr>
          <w:rFonts w:ascii="Arial" w:hAnsi="Arial"/>
          <w:sz w:val="22"/>
        </w:rPr>
        <w:t xml:space="preserve">a shared duty of </w:t>
      </w:r>
      <w:r w:rsidR="00350BDD" w:rsidRPr="002550A5">
        <w:rPr>
          <w:rFonts w:ascii="Arial" w:hAnsi="Arial"/>
          <w:sz w:val="22"/>
        </w:rPr>
        <w:t>the European Court of Human Rights</w:t>
      </w:r>
      <w:r w:rsidR="00F76C07" w:rsidRPr="002550A5">
        <w:rPr>
          <w:rFonts w:ascii="Arial" w:hAnsi="Arial"/>
          <w:sz w:val="22"/>
        </w:rPr>
        <w:t xml:space="preserve"> (ECtHR)</w:t>
      </w:r>
      <w:r w:rsidR="00350BDD" w:rsidRPr="002550A5">
        <w:rPr>
          <w:rFonts w:ascii="Arial" w:hAnsi="Arial"/>
          <w:sz w:val="22"/>
        </w:rPr>
        <w:t xml:space="preserve">, the Court of </w:t>
      </w:r>
      <w:r w:rsidR="00F76C07" w:rsidRPr="002550A5">
        <w:rPr>
          <w:rFonts w:ascii="Arial" w:hAnsi="Arial"/>
          <w:sz w:val="22"/>
        </w:rPr>
        <w:t>Justice of the European Union (C</w:t>
      </w:r>
      <w:r w:rsidR="00350BDD" w:rsidRPr="002550A5">
        <w:rPr>
          <w:rFonts w:ascii="Arial" w:hAnsi="Arial"/>
          <w:sz w:val="22"/>
        </w:rPr>
        <w:t>JEU)</w:t>
      </w:r>
      <w:r w:rsidR="00F76C07" w:rsidRPr="002550A5">
        <w:rPr>
          <w:rFonts w:ascii="Arial" w:hAnsi="Arial"/>
          <w:sz w:val="22"/>
        </w:rPr>
        <w:t xml:space="preserve"> and the jurisdictions of the EU member states to cooperate</w:t>
      </w:r>
      <w:r>
        <w:rPr>
          <w:rFonts w:ascii="Arial" w:hAnsi="Arial"/>
          <w:sz w:val="22"/>
        </w:rPr>
        <w:t xml:space="preserve"> within what </w:t>
      </w:r>
      <w:r w:rsidR="00E73C8E" w:rsidRPr="002550A5">
        <w:rPr>
          <w:rFonts w:ascii="Arial" w:hAnsi="Arial"/>
          <w:sz w:val="22"/>
        </w:rPr>
        <w:t>Voßkuhle called the “Europäische Verfassungsgerichtsverbund”.</w:t>
      </w:r>
    </w:p>
    <w:p w:rsidR="00F76C07" w:rsidRPr="002550A5" w:rsidRDefault="00F76C07" w:rsidP="0065593C">
      <w:pPr>
        <w:spacing w:before="60"/>
        <w:jc w:val="both"/>
        <w:rPr>
          <w:rFonts w:ascii="Arial" w:hAnsi="Arial"/>
          <w:sz w:val="22"/>
        </w:rPr>
      </w:pPr>
      <w:r w:rsidRPr="002550A5">
        <w:rPr>
          <w:rFonts w:ascii="Arial" w:hAnsi="Arial"/>
          <w:sz w:val="22"/>
        </w:rPr>
        <w:t xml:space="preserve">As they do not have the same competencies and as the scope of the Charter differs </w:t>
      </w:r>
      <w:r w:rsidR="00EE46F1" w:rsidRPr="002550A5">
        <w:rPr>
          <w:rFonts w:ascii="Arial" w:hAnsi="Arial"/>
          <w:sz w:val="22"/>
        </w:rPr>
        <w:t xml:space="preserve">fundamentally </w:t>
      </w:r>
      <w:r w:rsidRPr="002550A5">
        <w:rPr>
          <w:rFonts w:ascii="Arial" w:hAnsi="Arial"/>
          <w:sz w:val="22"/>
        </w:rPr>
        <w:t>from the scope of the Convention</w:t>
      </w:r>
      <w:r w:rsidR="006C024E">
        <w:rPr>
          <w:rFonts w:ascii="Arial" w:hAnsi="Arial"/>
          <w:sz w:val="22"/>
        </w:rPr>
        <w:t>,</w:t>
      </w:r>
      <w:r w:rsidR="00EE46F1" w:rsidRPr="002550A5">
        <w:rPr>
          <w:rFonts w:ascii="Arial" w:hAnsi="Arial"/>
          <w:sz w:val="22"/>
        </w:rPr>
        <w:t xml:space="preserve"> a certain division of functions appears</w:t>
      </w:r>
      <w:r w:rsidR="00E73C8E" w:rsidRPr="002550A5">
        <w:rPr>
          <w:rFonts w:ascii="Arial" w:hAnsi="Arial"/>
          <w:sz w:val="22"/>
        </w:rPr>
        <w:t xml:space="preserve"> in practice</w:t>
      </w:r>
      <w:r w:rsidR="00EE46F1" w:rsidRPr="002550A5">
        <w:rPr>
          <w:rFonts w:ascii="Arial" w:hAnsi="Arial"/>
          <w:sz w:val="22"/>
        </w:rPr>
        <w:t>. As a main difference</w:t>
      </w:r>
      <w:r w:rsidR="003755B8" w:rsidRPr="002550A5">
        <w:rPr>
          <w:rFonts w:ascii="Arial" w:hAnsi="Arial"/>
          <w:sz w:val="22"/>
        </w:rPr>
        <w:t>,</w:t>
      </w:r>
      <w:r w:rsidR="00EE46F1" w:rsidRPr="002550A5">
        <w:rPr>
          <w:rFonts w:ascii="Arial" w:hAnsi="Arial"/>
          <w:sz w:val="22"/>
        </w:rPr>
        <w:t xml:space="preserve"> the ECJ</w:t>
      </w:r>
      <w:r w:rsidR="00AA19FD" w:rsidRPr="002550A5">
        <w:rPr>
          <w:rFonts w:ascii="Arial" w:hAnsi="Arial"/>
          <w:sz w:val="22"/>
        </w:rPr>
        <w:t xml:space="preserve"> </w:t>
      </w:r>
      <w:r w:rsidR="00EE46F1" w:rsidRPr="002550A5">
        <w:rPr>
          <w:rFonts w:ascii="Arial" w:hAnsi="Arial"/>
          <w:sz w:val="22"/>
        </w:rPr>
        <w:t>and the n</w:t>
      </w:r>
      <w:r w:rsidR="006C024E">
        <w:rPr>
          <w:rFonts w:ascii="Arial" w:hAnsi="Arial"/>
          <w:sz w:val="22"/>
        </w:rPr>
        <w:t>ational judges in the EU member</w:t>
      </w:r>
      <w:r w:rsidR="00EE46F1" w:rsidRPr="002550A5">
        <w:rPr>
          <w:rFonts w:ascii="Arial" w:hAnsi="Arial"/>
          <w:sz w:val="22"/>
        </w:rPr>
        <w:t xml:space="preserve"> states are </w:t>
      </w:r>
      <w:r w:rsidR="00AA19FD" w:rsidRPr="002550A5">
        <w:rPr>
          <w:rFonts w:ascii="Arial" w:hAnsi="Arial"/>
          <w:sz w:val="22"/>
        </w:rPr>
        <w:t>(</w:t>
      </w:r>
      <w:r w:rsidR="00BC4E10" w:rsidRPr="002550A5">
        <w:rPr>
          <w:rFonts w:ascii="Arial" w:hAnsi="Arial"/>
          <w:sz w:val="22"/>
        </w:rPr>
        <w:t xml:space="preserve">subject to </w:t>
      </w:r>
      <w:r w:rsidR="00AA19FD" w:rsidRPr="002550A5">
        <w:rPr>
          <w:rFonts w:ascii="Arial" w:hAnsi="Arial"/>
          <w:sz w:val="22"/>
        </w:rPr>
        <w:t xml:space="preserve">some </w:t>
      </w:r>
      <w:r w:rsidR="00BC4E10" w:rsidRPr="002550A5">
        <w:rPr>
          <w:rFonts w:ascii="Arial" w:hAnsi="Arial"/>
          <w:sz w:val="22"/>
        </w:rPr>
        <w:t>conditions</w:t>
      </w:r>
      <w:r w:rsidR="00AA19FD" w:rsidRPr="002550A5">
        <w:rPr>
          <w:rFonts w:ascii="Arial" w:hAnsi="Arial"/>
          <w:sz w:val="22"/>
        </w:rPr>
        <w:t xml:space="preserve">) </w:t>
      </w:r>
      <w:r w:rsidR="00EE46F1" w:rsidRPr="002550A5">
        <w:rPr>
          <w:rFonts w:ascii="Arial" w:hAnsi="Arial"/>
          <w:sz w:val="22"/>
        </w:rPr>
        <w:t xml:space="preserve">competent and required to apply </w:t>
      </w:r>
      <w:r w:rsidR="006C024E">
        <w:rPr>
          <w:rFonts w:ascii="Arial" w:hAnsi="Arial"/>
          <w:sz w:val="22"/>
        </w:rPr>
        <w:t xml:space="preserve">both the Charter and </w:t>
      </w:r>
      <w:r w:rsidR="00EE46F1" w:rsidRPr="002550A5">
        <w:rPr>
          <w:rFonts w:ascii="Arial" w:hAnsi="Arial"/>
          <w:sz w:val="22"/>
        </w:rPr>
        <w:t>the Convention</w:t>
      </w:r>
      <w:r w:rsidR="003755B8" w:rsidRPr="002550A5">
        <w:rPr>
          <w:rFonts w:ascii="Arial" w:hAnsi="Arial"/>
          <w:sz w:val="22"/>
        </w:rPr>
        <w:t>,</w:t>
      </w:r>
      <w:r w:rsidR="00EE46F1" w:rsidRPr="002550A5">
        <w:rPr>
          <w:rFonts w:ascii="Arial" w:hAnsi="Arial"/>
          <w:sz w:val="22"/>
        </w:rPr>
        <w:t xml:space="preserve"> </w:t>
      </w:r>
      <w:r w:rsidR="006C024E" w:rsidRPr="002550A5">
        <w:rPr>
          <w:rFonts w:ascii="Arial" w:hAnsi="Arial"/>
          <w:sz w:val="22"/>
        </w:rPr>
        <w:t>whereas</w:t>
      </w:r>
      <w:r w:rsidR="00EE46F1" w:rsidRPr="002550A5">
        <w:rPr>
          <w:rFonts w:ascii="Arial" w:hAnsi="Arial"/>
          <w:sz w:val="22"/>
        </w:rPr>
        <w:t xml:space="preserve"> the Strasbourg Court</w:t>
      </w:r>
      <w:r w:rsidR="001949E4" w:rsidRPr="002550A5">
        <w:rPr>
          <w:rFonts w:ascii="Arial" w:hAnsi="Arial"/>
          <w:sz w:val="22"/>
        </w:rPr>
        <w:t>, who is the only specific Human Rights Court,</w:t>
      </w:r>
      <w:r w:rsidR="00EE46F1" w:rsidRPr="002550A5">
        <w:rPr>
          <w:rFonts w:ascii="Arial" w:hAnsi="Arial"/>
          <w:sz w:val="22"/>
        </w:rPr>
        <w:t xml:space="preserve"> is </w:t>
      </w:r>
      <w:r w:rsidR="003755B8" w:rsidRPr="002550A5">
        <w:rPr>
          <w:rFonts w:ascii="Arial" w:hAnsi="Arial"/>
          <w:sz w:val="22"/>
        </w:rPr>
        <w:t>merely</w:t>
      </w:r>
      <w:r w:rsidR="00EE46F1" w:rsidRPr="002550A5">
        <w:rPr>
          <w:rFonts w:ascii="Arial" w:hAnsi="Arial"/>
          <w:sz w:val="22"/>
        </w:rPr>
        <w:t xml:space="preserve"> competent to apply </w:t>
      </w:r>
      <w:r w:rsidR="001949E4" w:rsidRPr="002550A5">
        <w:rPr>
          <w:rFonts w:ascii="Arial" w:hAnsi="Arial"/>
          <w:sz w:val="22"/>
        </w:rPr>
        <w:t xml:space="preserve">and construe </w:t>
      </w:r>
      <w:r w:rsidR="00EE46F1" w:rsidRPr="002550A5">
        <w:rPr>
          <w:rFonts w:ascii="Arial" w:hAnsi="Arial"/>
          <w:sz w:val="22"/>
        </w:rPr>
        <w:t>the Convention</w:t>
      </w:r>
      <w:r w:rsidR="00C82BEC" w:rsidRPr="002550A5">
        <w:rPr>
          <w:rFonts w:ascii="Arial" w:hAnsi="Arial"/>
          <w:sz w:val="22"/>
        </w:rPr>
        <w:t xml:space="preserve">. </w:t>
      </w:r>
    </w:p>
    <w:p w:rsidR="00162235" w:rsidRDefault="00D1323E" w:rsidP="0065593C">
      <w:pPr>
        <w:spacing w:before="60"/>
        <w:jc w:val="both"/>
        <w:rPr>
          <w:rFonts w:ascii="Arial" w:hAnsi="Arial"/>
          <w:sz w:val="22"/>
        </w:rPr>
      </w:pPr>
      <w:r w:rsidRPr="002550A5">
        <w:rPr>
          <w:rFonts w:ascii="Arial" w:hAnsi="Arial"/>
          <w:sz w:val="22"/>
        </w:rPr>
        <w:t xml:space="preserve">As a result </w:t>
      </w:r>
      <w:r w:rsidR="001949E4" w:rsidRPr="002550A5">
        <w:rPr>
          <w:rFonts w:ascii="Arial" w:hAnsi="Arial"/>
          <w:sz w:val="22"/>
        </w:rPr>
        <w:t xml:space="preserve">these different judges will </w:t>
      </w:r>
      <w:r w:rsidR="009050BF" w:rsidRPr="002550A5">
        <w:rPr>
          <w:rFonts w:ascii="Arial" w:hAnsi="Arial"/>
          <w:sz w:val="22"/>
        </w:rPr>
        <w:t xml:space="preserve">have to </w:t>
      </w:r>
      <w:r w:rsidR="001949E4" w:rsidRPr="002550A5">
        <w:rPr>
          <w:rFonts w:ascii="Arial" w:hAnsi="Arial"/>
          <w:sz w:val="22"/>
        </w:rPr>
        <w:t>apply</w:t>
      </w:r>
      <w:r w:rsidRPr="002550A5">
        <w:rPr>
          <w:rFonts w:ascii="Arial" w:hAnsi="Arial"/>
          <w:sz w:val="22"/>
        </w:rPr>
        <w:t xml:space="preserve">, at least to some extent, </w:t>
      </w:r>
      <w:r w:rsidR="003F5665">
        <w:rPr>
          <w:rFonts w:ascii="Arial" w:hAnsi="Arial"/>
          <w:sz w:val="22"/>
        </w:rPr>
        <w:t xml:space="preserve">specific or distinctive </w:t>
      </w:r>
      <w:r w:rsidR="009050BF" w:rsidRPr="002550A5">
        <w:rPr>
          <w:rFonts w:ascii="Arial" w:hAnsi="Arial"/>
          <w:sz w:val="22"/>
        </w:rPr>
        <w:t xml:space="preserve">methods and rules </w:t>
      </w:r>
      <w:r w:rsidR="001949E4" w:rsidRPr="002550A5">
        <w:rPr>
          <w:rFonts w:ascii="Arial" w:hAnsi="Arial"/>
          <w:sz w:val="22"/>
        </w:rPr>
        <w:t>of conflict solving</w:t>
      </w:r>
      <w:r w:rsidR="003755B8" w:rsidRPr="002550A5">
        <w:rPr>
          <w:rFonts w:ascii="Arial" w:hAnsi="Arial"/>
          <w:sz w:val="22"/>
        </w:rPr>
        <w:t xml:space="preserve"> (I.)</w:t>
      </w:r>
      <w:r w:rsidR="001949E4" w:rsidRPr="002550A5">
        <w:rPr>
          <w:rFonts w:ascii="Arial" w:hAnsi="Arial"/>
          <w:sz w:val="22"/>
        </w:rPr>
        <w:t>.</w:t>
      </w:r>
      <w:r w:rsidR="005D12A0">
        <w:rPr>
          <w:rFonts w:ascii="Arial" w:hAnsi="Arial"/>
          <w:sz w:val="22"/>
        </w:rPr>
        <w:t xml:space="preserve"> </w:t>
      </w:r>
      <w:r w:rsidR="00900ACA">
        <w:rPr>
          <w:rFonts w:ascii="Arial" w:hAnsi="Arial"/>
          <w:sz w:val="22"/>
        </w:rPr>
        <w:t>H</w:t>
      </w:r>
      <w:r w:rsidR="00900ACA" w:rsidRPr="002550A5">
        <w:rPr>
          <w:rFonts w:ascii="Arial" w:hAnsi="Arial"/>
          <w:sz w:val="22"/>
        </w:rPr>
        <w:t>owever</w:t>
      </w:r>
      <w:r w:rsidR="00900ACA">
        <w:rPr>
          <w:rFonts w:ascii="Arial" w:hAnsi="Arial"/>
          <w:sz w:val="22"/>
        </w:rPr>
        <w:t>,</w:t>
      </w:r>
      <w:r w:rsidR="00900ACA" w:rsidRPr="002550A5">
        <w:rPr>
          <w:rFonts w:ascii="Arial" w:hAnsi="Arial"/>
          <w:sz w:val="22"/>
        </w:rPr>
        <w:t xml:space="preserve"> </w:t>
      </w:r>
      <w:r w:rsidR="00900ACA">
        <w:rPr>
          <w:rFonts w:ascii="Arial" w:hAnsi="Arial"/>
          <w:sz w:val="22"/>
        </w:rPr>
        <w:t>t</w:t>
      </w:r>
      <w:r w:rsidR="001949E4" w:rsidRPr="002550A5">
        <w:rPr>
          <w:rFonts w:ascii="Arial" w:hAnsi="Arial"/>
          <w:sz w:val="22"/>
        </w:rPr>
        <w:t xml:space="preserve">hey will also </w:t>
      </w:r>
      <w:r w:rsidR="00900ACA">
        <w:rPr>
          <w:rFonts w:ascii="Arial" w:hAnsi="Arial"/>
          <w:sz w:val="22"/>
        </w:rPr>
        <w:t>make</w:t>
      </w:r>
      <w:r w:rsidR="009050BF" w:rsidRPr="002550A5">
        <w:rPr>
          <w:rFonts w:ascii="Arial" w:hAnsi="Arial"/>
          <w:sz w:val="22"/>
        </w:rPr>
        <w:t xml:space="preserve"> common use of </w:t>
      </w:r>
      <w:r w:rsidR="00AA19FD" w:rsidRPr="002550A5">
        <w:rPr>
          <w:rFonts w:ascii="Arial" w:hAnsi="Arial"/>
          <w:sz w:val="22"/>
        </w:rPr>
        <w:t xml:space="preserve">judicial </w:t>
      </w:r>
      <w:r w:rsidR="009050BF" w:rsidRPr="002550A5">
        <w:rPr>
          <w:rFonts w:ascii="Arial" w:hAnsi="Arial"/>
          <w:sz w:val="22"/>
        </w:rPr>
        <w:t>techniques that have proven appropriate to overcome potential conflicts between fundamental rights instruments (II.).</w:t>
      </w:r>
    </w:p>
    <w:p w:rsidR="003536EA" w:rsidRPr="00534F0C" w:rsidRDefault="003F5665" w:rsidP="0065593C">
      <w:pPr>
        <w:spacing w:before="60"/>
        <w:jc w:val="both"/>
        <w:rPr>
          <w:rFonts w:ascii="Arial" w:hAnsi="Arial"/>
          <w:b/>
          <w:sz w:val="20"/>
        </w:rPr>
      </w:pPr>
      <w:r w:rsidRPr="00534F0C">
        <w:rPr>
          <w:rFonts w:ascii="Arial" w:hAnsi="Arial"/>
          <w:b/>
          <w:sz w:val="20"/>
        </w:rPr>
        <w:t xml:space="preserve">I. </w:t>
      </w:r>
      <w:r w:rsidR="00BC4E10" w:rsidRPr="00534F0C">
        <w:rPr>
          <w:rFonts w:ascii="Arial" w:hAnsi="Arial"/>
          <w:b/>
          <w:sz w:val="20"/>
        </w:rPr>
        <w:t>Distinctive method</w:t>
      </w:r>
      <w:r w:rsidR="003536EA" w:rsidRPr="00534F0C">
        <w:rPr>
          <w:rFonts w:ascii="Arial" w:hAnsi="Arial"/>
          <w:b/>
          <w:sz w:val="20"/>
        </w:rPr>
        <w:t>s and rules</w:t>
      </w:r>
    </w:p>
    <w:p w:rsidR="003536EA" w:rsidRPr="00534F0C" w:rsidRDefault="00496F94" w:rsidP="00534F0C">
      <w:pPr>
        <w:spacing w:before="60"/>
        <w:ind w:firstLine="72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A. </w:t>
      </w:r>
      <w:r w:rsidR="000F7804" w:rsidRPr="00534F0C">
        <w:rPr>
          <w:rFonts w:ascii="Arial" w:hAnsi="Arial"/>
          <w:sz w:val="20"/>
        </w:rPr>
        <w:t>Methods and rules a</w:t>
      </w:r>
      <w:r w:rsidR="00AE644D" w:rsidRPr="00534F0C">
        <w:rPr>
          <w:rFonts w:ascii="Arial" w:hAnsi="Arial"/>
          <w:sz w:val="20"/>
        </w:rPr>
        <w:t>pplicable by t</w:t>
      </w:r>
      <w:r w:rsidR="003536EA" w:rsidRPr="00534F0C">
        <w:rPr>
          <w:rFonts w:ascii="Arial" w:hAnsi="Arial"/>
          <w:sz w:val="20"/>
        </w:rPr>
        <w:t>he CJUE</w:t>
      </w:r>
      <w:r w:rsidR="00827BD6" w:rsidRPr="00534F0C">
        <w:rPr>
          <w:rFonts w:ascii="Arial" w:hAnsi="Arial"/>
          <w:sz w:val="20"/>
        </w:rPr>
        <w:t xml:space="preserve"> and the national courts</w:t>
      </w:r>
    </w:p>
    <w:p w:rsidR="00827BD6" w:rsidRPr="00534F0C" w:rsidRDefault="00AE644D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>1. Interpretation clauses of the C</w:t>
      </w:r>
      <w:r w:rsidR="00827BD6" w:rsidRPr="00534F0C">
        <w:rPr>
          <w:rFonts w:ascii="Arial" w:hAnsi="Arial"/>
          <w:sz w:val="20"/>
        </w:rPr>
        <w:t>harter</w:t>
      </w:r>
      <w:r w:rsidR="003F5665" w:rsidRPr="00534F0C">
        <w:rPr>
          <w:rFonts w:ascii="Arial" w:hAnsi="Arial"/>
          <w:sz w:val="20"/>
        </w:rPr>
        <w:t xml:space="preserve"> (art. 52 and 53)</w:t>
      </w:r>
    </w:p>
    <w:p w:rsidR="000F7804" w:rsidRPr="00534F0C" w:rsidRDefault="000F7804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>2. Reasoning in terms of hierarchy of norms</w:t>
      </w:r>
      <w:r w:rsidR="003F5665" w:rsidRPr="00534F0C">
        <w:rPr>
          <w:rFonts w:ascii="Arial" w:hAnsi="Arial"/>
          <w:sz w:val="20"/>
        </w:rPr>
        <w:t xml:space="preserve"> (as implied by art. 6 TUE)</w:t>
      </w:r>
    </w:p>
    <w:p w:rsidR="00142BCB" w:rsidRPr="00534F0C" w:rsidRDefault="00AE644D" w:rsidP="00534F0C">
      <w:pPr>
        <w:spacing w:before="60"/>
        <w:ind w:firstLine="72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B. </w:t>
      </w:r>
      <w:r w:rsidR="001A0CB7">
        <w:rPr>
          <w:rFonts w:ascii="Arial" w:hAnsi="Arial"/>
          <w:sz w:val="20"/>
        </w:rPr>
        <w:t>M</w:t>
      </w:r>
      <w:r w:rsidRPr="00534F0C">
        <w:rPr>
          <w:rFonts w:ascii="Arial" w:hAnsi="Arial"/>
          <w:sz w:val="20"/>
        </w:rPr>
        <w:t xml:space="preserve">ethods available to </w:t>
      </w:r>
      <w:r w:rsidR="003536EA" w:rsidRPr="00534F0C">
        <w:rPr>
          <w:rFonts w:ascii="Arial" w:hAnsi="Arial"/>
          <w:sz w:val="20"/>
        </w:rPr>
        <w:t>national (constitutional) courts</w:t>
      </w:r>
    </w:p>
    <w:p w:rsidR="003E2215" w:rsidRPr="00534F0C" w:rsidRDefault="00FE5CA1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1. </w:t>
      </w:r>
      <w:r w:rsidR="00162235">
        <w:rPr>
          <w:rFonts w:ascii="Arial" w:hAnsi="Arial"/>
          <w:sz w:val="20"/>
        </w:rPr>
        <w:t xml:space="preserve">Cumulative </w:t>
      </w:r>
      <w:r w:rsidR="003E2215" w:rsidRPr="00534F0C">
        <w:rPr>
          <w:rFonts w:ascii="Arial" w:hAnsi="Arial"/>
          <w:sz w:val="20"/>
        </w:rPr>
        <w:t xml:space="preserve">application </w:t>
      </w:r>
      <w:r w:rsidR="001A0CB7">
        <w:rPr>
          <w:rFonts w:ascii="Arial" w:hAnsi="Arial"/>
          <w:sz w:val="20"/>
        </w:rPr>
        <w:t>versus</w:t>
      </w:r>
      <w:r w:rsidR="003E2215" w:rsidRPr="00534F0C">
        <w:rPr>
          <w:rFonts w:ascii="Arial" w:hAnsi="Arial"/>
          <w:sz w:val="20"/>
        </w:rPr>
        <w:t xml:space="preserve"> </w:t>
      </w:r>
      <w:r w:rsidR="001A0CB7">
        <w:rPr>
          <w:rFonts w:ascii="Arial" w:hAnsi="Arial"/>
          <w:sz w:val="20"/>
        </w:rPr>
        <w:t>narrow interpretation of</w:t>
      </w:r>
      <w:r w:rsidR="003E2215" w:rsidRPr="00534F0C">
        <w:rPr>
          <w:rFonts w:ascii="Arial" w:hAnsi="Arial"/>
          <w:sz w:val="20"/>
        </w:rPr>
        <w:t xml:space="preserve"> </w:t>
      </w:r>
      <w:r w:rsidR="0067571E" w:rsidRPr="00534F0C">
        <w:rPr>
          <w:rFonts w:ascii="Arial" w:hAnsi="Arial"/>
          <w:sz w:val="20"/>
        </w:rPr>
        <w:t xml:space="preserve">the </w:t>
      </w:r>
      <w:r w:rsidR="003E2215" w:rsidRPr="00534F0C">
        <w:rPr>
          <w:rFonts w:ascii="Arial" w:hAnsi="Arial"/>
          <w:sz w:val="20"/>
        </w:rPr>
        <w:t xml:space="preserve">Charter’s scope </w:t>
      </w:r>
    </w:p>
    <w:p w:rsidR="00496F94" w:rsidRPr="00534F0C" w:rsidRDefault="003F5665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>2</w:t>
      </w:r>
      <w:r w:rsidR="009526B6" w:rsidRPr="00534F0C">
        <w:rPr>
          <w:rFonts w:ascii="Arial" w:hAnsi="Arial"/>
          <w:sz w:val="20"/>
        </w:rPr>
        <w:t>. Reference to the CJEU for a p</w:t>
      </w:r>
      <w:r w:rsidR="0067571E" w:rsidRPr="00534F0C">
        <w:rPr>
          <w:rFonts w:ascii="Arial" w:hAnsi="Arial"/>
          <w:sz w:val="20"/>
        </w:rPr>
        <w:t>reliminary ruling (article 267 TFUE)</w:t>
      </w:r>
    </w:p>
    <w:p w:rsidR="00142BCB" w:rsidRPr="00534F0C" w:rsidRDefault="00D31B34" w:rsidP="00534F0C">
      <w:pPr>
        <w:spacing w:before="60"/>
        <w:ind w:firstLine="72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C. Relevant principles </w:t>
      </w:r>
      <w:r w:rsidR="00496F94" w:rsidRPr="00534F0C">
        <w:rPr>
          <w:rFonts w:ascii="Arial" w:hAnsi="Arial"/>
          <w:sz w:val="20"/>
        </w:rPr>
        <w:t>proper to the ECHR and the ECtHR</w:t>
      </w:r>
    </w:p>
    <w:p w:rsidR="00142BCB" w:rsidRPr="00534F0C" w:rsidRDefault="003F5665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1. </w:t>
      </w:r>
      <w:r w:rsidR="0067571E" w:rsidRPr="00534F0C">
        <w:rPr>
          <w:rFonts w:ascii="Arial" w:hAnsi="Arial"/>
          <w:sz w:val="20"/>
        </w:rPr>
        <w:t>Subsidiarity of the conventional system</w:t>
      </w:r>
    </w:p>
    <w:p w:rsidR="003536EA" w:rsidRPr="00534F0C" w:rsidRDefault="00105BF9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2. The </w:t>
      </w:r>
      <w:r w:rsidR="00496F94" w:rsidRPr="00534F0C">
        <w:rPr>
          <w:rFonts w:ascii="Arial" w:hAnsi="Arial"/>
          <w:sz w:val="20"/>
        </w:rPr>
        <w:t>“equivalent protection” doctrine (</w:t>
      </w:r>
      <w:r w:rsidR="00F0321D" w:rsidRPr="00534F0C">
        <w:rPr>
          <w:rFonts w:ascii="Arial" w:hAnsi="Arial"/>
          <w:sz w:val="20"/>
        </w:rPr>
        <w:t>or “Bosphorus test”</w:t>
      </w:r>
      <w:r w:rsidR="00496F94" w:rsidRPr="00534F0C">
        <w:rPr>
          <w:rFonts w:ascii="Arial" w:hAnsi="Arial"/>
          <w:sz w:val="20"/>
        </w:rPr>
        <w:t>)</w:t>
      </w:r>
    </w:p>
    <w:p w:rsidR="00FA7420" w:rsidRPr="00534F0C" w:rsidRDefault="00105BF9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3. </w:t>
      </w:r>
      <w:r w:rsidR="007C234A">
        <w:rPr>
          <w:rFonts w:ascii="Arial" w:hAnsi="Arial"/>
          <w:sz w:val="20"/>
        </w:rPr>
        <w:t>Prior involvement of the CJEU</w:t>
      </w:r>
    </w:p>
    <w:p w:rsidR="00FA7420" w:rsidRPr="00534F0C" w:rsidRDefault="00FA7420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>4. “Last word” competency</w:t>
      </w:r>
      <w:r w:rsidR="00F0321D" w:rsidRPr="00534F0C">
        <w:rPr>
          <w:rFonts w:ascii="Arial" w:hAnsi="Arial"/>
          <w:sz w:val="20"/>
        </w:rPr>
        <w:t xml:space="preserve"> of the ECtHR</w:t>
      </w:r>
      <w:r w:rsidR="003F5665" w:rsidRPr="00534F0C">
        <w:rPr>
          <w:rFonts w:ascii="Arial" w:hAnsi="Arial"/>
          <w:sz w:val="20"/>
        </w:rPr>
        <w:t xml:space="preserve"> after accession</w:t>
      </w:r>
    </w:p>
    <w:p w:rsidR="003536EA" w:rsidRPr="00534F0C" w:rsidRDefault="00534F0C" w:rsidP="0065593C">
      <w:pPr>
        <w:spacing w:before="60"/>
        <w:jc w:val="both"/>
        <w:rPr>
          <w:rFonts w:ascii="Arial" w:hAnsi="Arial"/>
          <w:b/>
          <w:sz w:val="20"/>
        </w:rPr>
      </w:pPr>
      <w:r w:rsidRPr="00534F0C">
        <w:rPr>
          <w:rFonts w:ascii="Arial" w:hAnsi="Arial"/>
          <w:b/>
          <w:sz w:val="20"/>
        </w:rPr>
        <w:t xml:space="preserve">II. </w:t>
      </w:r>
      <w:r w:rsidR="003536EA" w:rsidRPr="00534F0C">
        <w:rPr>
          <w:rFonts w:ascii="Arial" w:hAnsi="Arial"/>
          <w:b/>
          <w:sz w:val="20"/>
        </w:rPr>
        <w:t>Shared judicial techniques</w:t>
      </w:r>
    </w:p>
    <w:p w:rsidR="00F00FFD" w:rsidRPr="00534F0C" w:rsidRDefault="00534F0C" w:rsidP="00534F0C">
      <w:pPr>
        <w:spacing w:before="60"/>
        <w:ind w:left="72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A. </w:t>
      </w:r>
      <w:r w:rsidR="00AE644D" w:rsidRPr="00534F0C">
        <w:rPr>
          <w:rFonts w:ascii="Arial" w:hAnsi="Arial"/>
          <w:sz w:val="20"/>
        </w:rPr>
        <w:t>Consistent interpretation</w:t>
      </w:r>
    </w:p>
    <w:p w:rsidR="00347DAB" w:rsidRPr="00534F0C" w:rsidRDefault="00534F0C" w:rsidP="00534F0C">
      <w:pPr>
        <w:spacing w:before="60"/>
        <w:ind w:left="72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B. </w:t>
      </w:r>
      <w:r w:rsidR="00D31B34" w:rsidRPr="00534F0C">
        <w:rPr>
          <w:rFonts w:ascii="Arial" w:hAnsi="Arial"/>
          <w:sz w:val="20"/>
        </w:rPr>
        <w:t xml:space="preserve">Balancing </w:t>
      </w:r>
      <w:r w:rsidR="003E2215" w:rsidRPr="00534F0C">
        <w:rPr>
          <w:rFonts w:ascii="Arial" w:hAnsi="Arial"/>
          <w:sz w:val="20"/>
        </w:rPr>
        <w:t xml:space="preserve">colliding </w:t>
      </w:r>
      <w:r w:rsidR="00D31B34" w:rsidRPr="00534F0C">
        <w:rPr>
          <w:rFonts w:ascii="Arial" w:hAnsi="Arial"/>
          <w:sz w:val="20"/>
        </w:rPr>
        <w:t>fundamental rights and freedoms</w:t>
      </w:r>
    </w:p>
    <w:p w:rsidR="0067571E" w:rsidRPr="00534F0C" w:rsidRDefault="00534F0C" w:rsidP="00534F0C">
      <w:pPr>
        <w:spacing w:before="60"/>
        <w:ind w:left="72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C. </w:t>
      </w:r>
      <w:r w:rsidR="0067571E" w:rsidRPr="00534F0C">
        <w:rPr>
          <w:rFonts w:ascii="Arial" w:hAnsi="Arial"/>
          <w:sz w:val="20"/>
        </w:rPr>
        <w:t>Judicial dialogue</w:t>
      </w:r>
    </w:p>
    <w:p w:rsidR="0067571E" w:rsidRPr="00534F0C" w:rsidRDefault="00534F0C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1. </w:t>
      </w:r>
      <w:r w:rsidR="0067571E" w:rsidRPr="00534F0C">
        <w:rPr>
          <w:rFonts w:ascii="Arial" w:hAnsi="Arial"/>
          <w:sz w:val="20"/>
        </w:rPr>
        <w:t>Mutual reception of case law</w:t>
      </w:r>
    </w:p>
    <w:p w:rsidR="00854ACC" w:rsidRPr="00534F0C" w:rsidRDefault="00534F0C" w:rsidP="00534F0C">
      <w:pPr>
        <w:spacing w:before="60"/>
        <w:ind w:left="1440"/>
        <w:jc w:val="both"/>
        <w:rPr>
          <w:rFonts w:ascii="Arial" w:hAnsi="Arial"/>
          <w:sz w:val="20"/>
        </w:rPr>
      </w:pPr>
      <w:r w:rsidRPr="00534F0C">
        <w:rPr>
          <w:rFonts w:ascii="Arial" w:hAnsi="Arial"/>
          <w:sz w:val="20"/>
        </w:rPr>
        <w:t xml:space="preserve">2. </w:t>
      </w:r>
      <w:r w:rsidR="00496F94" w:rsidRPr="00534F0C">
        <w:rPr>
          <w:rFonts w:ascii="Arial" w:hAnsi="Arial"/>
          <w:sz w:val="20"/>
        </w:rPr>
        <w:t>Struggle for the “best solution”</w:t>
      </w:r>
    </w:p>
    <w:sectPr w:rsidR="00854ACC" w:rsidRPr="00534F0C" w:rsidSect="00162235">
      <w:headerReference w:type="default" r:id="rId5"/>
      <w:footerReference w:type="default" r:id="rId6"/>
      <w:pgSz w:w="11906" w:h="16838"/>
      <w:pgMar w:top="1134" w:right="1134" w:bottom="1134" w:left="1134" w:header="709" w:footer="851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B7" w:rsidRPr="00162235" w:rsidRDefault="00982A6D" w:rsidP="0065593C">
    <w:pPr>
      <w:pStyle w:val="Footer"/>
      <w:jc w:val="center"/>
      <w:rPr>
        <w:rFonts w:ascii="Arial" w:hAnsi="Arial"/>
        <w:i/>
        <w:sz w:val="22"/>
      </w:rPr>
    </w:pPr>
    <w:r w:rsidRPr="00162235">
      <w:rPr>
        <w:rFonts w:ascii="Arial" w:hAnsi="Arial"/>
        <w:i/>
        <w:sz w:val="22"/>
      </w:rPr>
      <w:fldChar w:fldCharType="begin"/>
    </w:r>
    <w:r w:rsidR="001A0CB7" w:rsidRPr="00162235">
      <w:rPr>
        <w:rFonts w:ascii="Arial" w:hAnsi="Arial"/>
        <w:i/>
        <w:sz w:val="22"/>
      </w:rPr>
      <w:instrText xml:space="preserve"> AUTHOR </w:instrText>
    </w:r>
    <w:r w:rsidRPr="00162235">
      <w:rPr>
        <w:rFonts w:ascii="Arial" w:hAnsi="Arial"/>
        <w:i/>
        <w:sz w:val="22"/>
      </w:rPr>
      <w:fldChar w:fldCharType="separate"/>
    </w:r>
    <w:r w:rsidR="00594708">
      <w:rPr>
        <w:rFonts w:ascii="Arial" w:hAnsi="Arial"/>
        <w:i/>
        <w:noProof/>
        <w:sz w:val="22"/>
      </w:rPr>
      <w:t>Jörg GERKRATH</w:t>
    </w:r>
    <w:r w:rsidRPr="00162235">
      <w:rPr>
        <w:rFonts w:ascii="Arial" w:hAnsi="Arial"/>
        <w:i/>
        <w:sz w:val="22"/>
      </w:rPr>
      <w:fldChar w:fldCharType="end"/>
    </w:r>
    <w:r w:rsidR="001A0CB7" w:rsidRPr="00162235">
      <w:rPr>
        <w:rFonts w:ascii="Arial" w:hAnsi="Arial"/>
        <w:i/>
        <w:sz w:val="22"/>
      </w:rPr>
      <w:t>, Professeur à l’Université du Luxembourg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B7" w:rsidRPr="0065593C" w:rsidRDefault="001A0CB7" w:rsidP="0065593C">
    <w:pPr>
      <w:jc w:val="center"/>
      <w:rPr>
        <w:rFonts w:ascii="Arial" w:hAnsi="Arial"/>
        <w:i/>
        <w:sz w:val="22"/>
      </w:rPr>
    </w:pPr>
    <w:r w:rsidRPr="0065593C">
      <w:rPr>
        <w:rFonts w:ascii="Arial" w:hAnsi="Arial"/>
        <w:i/>
        <w:sz w:val="22"/>
      </w:rPr>
      <w:t>The protection of fundamental righ</w:t>
    </w:r>
    <w:r>
      <w:rPr>
        <w:rFonts w:ascii="Arial" w:hAnsi="Arial"/>
        <w:i/>
        <w:sz w:val="22"/>
      </w:rPr>
      <w:t>ts in the EU: future challenges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1BF"/>
    <w:multiLevelType w:val="multilevel"/>
    <w:tmpl w:val="2CA626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408"/>
    <w:multiLevelType w:val="hybridMultilevel"/>
    <w:tmpl w:val="6E2AB96A"/>
    <w:lvl w:ilvl="0" w:tplc="5ED0C30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70D9"/>
    <w:multiLevelType w:val="hybridMultilevel"/>
    <w:tmpl w:val="91782CB0"/>
    <w:lvl w:ilvl="0" w:tplc="F0D813A2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E1338"/>
    <w:multiLevelType w:val="hybridMultilevel"/>
    <w:tmpl w:val="2CA626C2"/>
    <w:lvl w:ilvl="0" w:tplc="F6F0D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62BA8"/>
    <w:multiLevelType w:val="hybridMultilevel"/>
    <w:tmpl w:val="AC720CF6"/>
    <w:lvl w:ilvl="0" w:tplc="920661A0">
      <w:start w:val="1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5D1E83"/>
    <w:multiLevelType w:val="multilevel"/>
    <w:tmpl w:val="3C980E9A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Theme="majorEastAsia" w:hAnsi="Arial" w:cstheme="majorBidi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54ACC"/>
    <w:rsid w:val="00040456"/>
    <w:rsid w:val="000E54CE"/>
    <w:rsid w:val="000F7804"/>
    <w:rsid w:val="00105BF9"/>
    <w:rsid w:val="0013090A"/>
    <w:rsid w:val="00142BCB"/>
    <w:rsid w:val="00162235"/>
    <w:rsid w:val="001949E4"/>
    <w:rsid w:val="001A0CB7"/>
    <w:rsid w:val="001C50B1"/>
    <w:rsid w:val="002550A5"/>
    <w:rsid w:val="002A520A"/>
    <w:rsid w:val="00322153"/>
    <w:rsid w:val="00347DAB"/>
    <w:rsid w:val="00350BDD"/>
    <w:rsid w:val="003536EA"/>
    <w:rsid w:val="003755B8"/>
    <w:rsid w:val="003E2215"/>
    <w:rsid w:val="003F5665"/>
    <w:rsid w:val="00471C78"/>
    <w:rsid w:val="00496F94"/>
    <w:rsid w:val="0050428C"/>
    <w:rsid w:val="00534F0C"/>
    <w:rsid w:val="00572F8B"/>
    <w:rsid w:val="00594708"/>
    <w:rsid w:val="005B0B85"/>
    <w:rsid w:val="005D12A0"/>
    <w:rsid w:val="0065593C"/>
    <w:rsid w:val="0067571E"/>
    <w:rsid w:val="00696BEE"/>
    <w:rsid w:val="006C024E"/>
    <w:rsid w:val="007C234A"/>
    <w:rsid w:val="00827BD6"/>
    <w:rsid w:val="00832666"/>
    <w:rsid w:val="00854ACC"/>
    <w:rsid w:val="00872CAE"/>
    <w:rsid w:val="008E5536"/>
    <w:rsid w:val="00900ACA"/>
    <w:rsid w:val="009050BF"/>
    <w:rsid w:val="009217E3"/>
    <w:rsid w:val="009458BA"/>
    <w:rsid w:val="009526B6"/>
    <w:rsid w:val="00982A6D"/>
    <w:rsid w:val="00985103"/>
    <w:rsid w:val="00A25424"/>
    <w:rsid w:val="00A3123C"/>
    <w:rsid w:val="00AA19FD"/>
    <w:rsid w:val="00AC5CDF"/>
    <w:rsid w:val="00AE3E90"/>
    <w:rsid w:val="00AE644D"/>
    <w:rsid w:val="00BA4AB7"/>
    <w:rsid w:val="00BC4E10"/>
    <w:rsid w:val="00C40FDD"/>
    <w:rsid w:val="00C82BEC"/>
    <w:rsid w:val="00D1323E"/>
    <w:rsid w:val="00D31B34"/>
    <w:rsid w:val="00D731F1"/>
    <w:rsid w:val="00E73C8E"/>
    <w:rsid w:val="00EE46F1"/>
    <w:rsid w:val="00EE47C4"/>
    <w:rsid w:val="00F00FFD"/>
    <w:rsid w:val="00F0321D"/>
    <w:rsid w:val="00F20E89"/>
    <w:rsid w:val="00F76C07"/>
    <w:rsid w:val="00F87790"/>
    <w:rsid w:val="00FA7420"/>
    <w:rsid w:val="00FE063A"/>
    <w:rsid w:val="00FE5CA1"/>
  </w:rsids>
  <m:mathPr>
    <m:mathFont m:val="GillModSans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302"/>
  </w:style>
  <w:style w:type="paragraph" w:styleId="Heading1">
    <w:name w:val="heading 1"/>
    <w:basedOn w:val="Normal"/>
    <w:next w:val="Normal"/>
    <w:link w:val="Heading1Char"/>
    <w:uiPriority w:val="9"/>
    <w:qFormat/>
    <w:rsid w:val="00471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4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autoRedefine/>
    <w:rsid w:val="003E1670"/>
    <w:pPr>
      <w:tabs>
        <w:tab w:val="left" w:pos="284"/>
      </w:tabs>
      <w:spacing w:after="80" w:line="264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E167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1">
    <w:name w:val="Footnote Text Char1"/>
    <w:basedOn w:val="DefaultParagraphFont"/>
    <w:locked/>
    <w:rsid w:val="003E1670"/>
    <w:rPr>
      <w:rFonts w:ascii="Times New Roman" w:eastAsia="Times New Roman" w:hAnsi="Times New Roman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471C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15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73C8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E6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64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4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C40FD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ubparastyle">
    <w:name w:val="subpara style"/>
    <w:basedOn w:val="Default"/>
    <w:next w:val="Default"/>
    <w:uiPriority w:val="99"/>
    <w:rsid w:val="00C40FDD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1309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90A"/>
  </w:style>
  <w:style w:type="paragraph" w:styleId="Footer">
    <w:name w:val="footer"/>
    <w:basedOn w:val="Normal"/>
    <w:link w:val="FooterChar"/>
    <w:uiPriority w:val="99"/>
    <w:semiHidden/>
    <w:unhideWhenUsed/>
    <w:rsid w:val="001309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0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542</Words>
  <Characters>3093</Characters>
  <Application>Microsoft Macintosh Word</Application>
  <DocSecurity>0</DocSecurity>
  <Lines>25</Lines>
  <Paragraphs>6</Paragraphs>
  <ScaleCrop>false</ScaleCrop>
  <Company>Uni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GERKRATH</dc:creator>
  <cp:keywords/>
  <cp:lastModifiedBy>Jörg GERKRATH</cp:lastModifiedBy>
  <cp:revision>4</cp:revision>
  <cp:lastPrinted>2012-10-18T08:45:00Z</cp:lastPrinted>
  <dcterms:created xsi:type="dcterms:W3CDTF">2012-10-17T17:40:00Z</dcterms:created>
  <dcterms:modified xsi:type="dcterms:W3CDTF">2012-10-18T08:46:00Z</dcterms:modified>
</cp:coreProperties>
</file>