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9E" w:rsidRPr="004E4ED4" w:rsidRDefault="00754056" w:rsidP="008E069E">
      <w:pPr>
        <w:spacing w:before="120" w:line="360" w:lineRule="auto"/>
        <w:jc w:val="center"/>
        <w:rPr>
          <w:rFonts w:ascii="Times New Roman" w:hAnsi="Times New Roman"/>
          <w:b/>
          <w:lang w:val="fr-FR"/>
        </w:rPr>
      </w:pPr>
      <w:r w:rsidRPr="004E4ED4">
        <w:rPr>
          <w:rFonts w:ascii="Times New Roman" w:hAnsi="Times New Roman"/>
          <w:b/>
          <w:lang w:val="fr-FR"/>
        </w:rPr>
        <w:t>L’encadrement de la marge d’appréciation du juge national en matière de</w:t>
      </w:r>
      <w:r w:rsidR="0090559A" w:rsidRPr="004E4ED4">
        <w:rPr>
          <w:rFonts w:ascii="Times New Roman" w:hAnsi="Times New Roman"/>
          <w:b/>
          <w:lang w:val="fr-FR"/>
        </w:rPr>
        <w:t xml:space="preserve"> libre circulation des citoyens </w:t>
      </w:r>
      <w:r w:rsidR="00273DD9" w:rsidRPr="004E4ED4">
        <w:rPr>
          <w:rFonts w:ascii="Times New Roman" w:hAnsi="Times New Roman"/>
          <w:b/>
          <w:lang w:val="fr-FR"/>
        </w:rPr>
        <w:t>de l’Union</w:t>
      </w:r>
    </w:p>
    <w:p w:rsidR="00D23E9E" w:rsidRPr="004E4ED4" w:rsidRDefault="004E4ED4" w:rsidP="008E069E">
      <w:pPr>
        <w:spacing w:before="120" w:line="360" w:lineRule="auto"/>
        <w:jc w:val="center"/>
        <w:rPr>
          <w:rFonts w:ascii="Times New Roman" w:hAnsi="Times New Roman"/>
          <w:sz w:val="20"/>
          <w:lang w:val="fr-FR"/>
        </w:rPr>
      </w:pPr>
      <w:proofErr w:type="gramStart"/>
      <w:r>
        <w:rPr>
          <w:rFonts w:ascii="Times New Roman" w:hAnsi="Times New Roman"/>
          <w:sz w:val="20"/>
          <w:lang w:val="fr-FR"/>
        </w:rPr>
        <w:t>p</w:t>
      </w:r>
      <w:r w:rsidRPr="004E4ED4">
        <w:rPr>
          <w:rFonts w:ascii="Times New Roman" w:hAnsi="Times New Roman"/>
          <w:sz w:val="20"/>
          <w:lang w:val="fr-FR"/>
        </w:rPr>
        <w:t>ar</w:t>
      </w:r>
      <w:proofErr w:type="gramEnd"/>
      <w:r w:rsidRPr="004E4ED4">
        <w:rPr>
          <w:rFonts w:ascii="Times New Roman" w:hAnsi="Times New Roman"/>
          <w:sz w:val="20"/>
          <w:lang w:val="fr-FR"/>
        </w:rPr>
        <w:t xml:space="preserve"> </w:t>
      </w:r>
      <w:r w:rsidR="00D23E9E" w:rsidRPr="004E4ED4">
        <w:rPr>
          <w:rFonts w:ascii="Times New Roman" w:hAnsi="Times New Roman"/>
          <w:sz w:val="20"/>
          <w:lang w:val="fr-FR"/>
        </w:rPr>
        <w:t xml:space="preserve">Jörg </w:t>
      </w:r>
      <w:proofErr w:type="spellStart"/>
      <w:r w:rsidR="00D23E9E" w:rsidRPr="004E4ED4">
        <w:rPr>
          <w:rFonts w:ascii="Times New Roman" w:hAnsi="Times New Roman"/>
          <w:sz w:val="20"/>
          <w:lang w:val="fr-FR"/>
        </w:rPr>
        <w:t>Gerkrath</w:t>
      </w:r>
      <w:proofErr w:type="spellEnd"/>
      <w:r w:rsidR="00D23E9E" w:rsidRPr="004E4ED4">
        <w:rPr>
          <w:rFonts w:ascii="Times New Roman" w:hAnsi="Times New Roman"/>
          <w:sz w:val="20"/>
          <w:lang w:val="fr-FR"/>
        </w:rPr>
        <w:t>, Professeur en droit européen à l’Université du Luxembourg</w:t>
      </w:r>
    </w:p>
    <w:p w:rsidR="00D23E9E" w:rsidRPr="004E4ED4" w:rsidRDefault="00D23E9E" w:rsidP="008E069E">
      <w:pPr>
        <w:spacing w:before="120" w:line="360" w:lineRule="auto"/>
        <w:jc w:val="center"/>
        <w:rPr>
          <w:rFonts w:ascii="Times New Roman" w:hAnsi="Times New Roman"/>
          <w:b/>
          <w:lang w:val="fr-FR"/>
        </w:rPr>
      </w:pPr>
    </w:p>
    <w:p w:rsidR="008E069E" w:rsidRDefault="009E79DE" w:rsidP="008E069E">
      <w:pPr>
        <w:spacing w:before="120" w:line="360" w:lineRule="auto"/>
        <w:jc w:val="both"/>
        <w:rPr>
          <w:rFonts w:ascii="Times New Roman" w:hAnsi="Times New Roman"/>
          <w:lang w:val="fr-FR"/>
        </w:rPr>
      </w:pPr>
      <w:r>
        <w:rPr>
          <w:rFonts w:ascii="Times New Roman" w:hAnsi="Times New Roman"/>
          <w:lang w:val="fr-FR"/>
        </w:rPr>
        <w:t xml:space="preserve">Dans la mesure où toute personne </w:t>
      </w:r>
      <w:r w:rsidR="00210E9D">
        <w:rPr>
          <w:rFonts w:ascii="Times New Roman" w:hAnsi="Times New Roman"/>
          <w:lang w:val="fr-FR"/>
        </w:rPr>
        <w:t xml:space="preserve">ayant la nationalité d’un Etat membre est citoyen de l’Union, les citoyens de l’Union comprennent aussi bien des </w:t>
      </w:r>
      <w:r w:rsidR="00A42D9D">
        <w:rPr>
          <w:rFonts w:ascii="Times New Roman" w:hAnsi="Times New Roman"/>
          <w:lang w:val="fr-FR"/>
        </w:rPr>
        <w:t>bénéficiaires de la liberté de circulation des  travailleurs, de la liberté de prestation de</w:t>
      </w:r>
      <w:r w:rsidR="00210E9D">
        <w:rPr>
          <w:rFonts w:ascii="Times New Roman" w:hAnsi="Times New Roman"/>
          <w:lang w:val="fr-FR"/>
        </w:rPr>
        <w:t xml:space="preserve"> </w:t>
      </w:r>
      <w:r w:rsidR="00A42D9D">
        <w:rPr>
          <w:rFonts w:ascii="Times New Roman" w:hAnsi="Times New Roman"/>
          <w:lang w:val="fr-FR"/>
        </w:rPr>
        <w:t>services et du droit d’établissement au sens des articles 45, 49 et 56 TFUE, que des personnes économiquement inactives</w:t>
      </w:r>
      <w:r w:rsidR="00A11336">
        <w:rPr>
          <w:rFonts w:ascii="Times New Roman" w:hAnsi="Times New Roman"/>
          <w:lang w:val="fr-FR"/>
        </w:rPr>
        <w:t xml:space="preserve"> </w:t>
      </w:r>
      <w:r w:rsidR="0005528E">
        <w:rPr>
          <w:rFonts w:ascii="Times New Roman" w:hAnsi="Times New Roman"/>
          <w:lang w:val="fr-FR"/>
        </w:rPr>
        <w:t xml:space="preserve">telles que notamment </w:t>
      </w:r>
      <w:r w:rsidR="00A11336">
        <w:rPr>
          <w:rFonts w:ascii="Times New Roman" w:hAnsi="Times New Roman"/>
          <w:lang w:val="fr-FR"/>
        </w:rPr>
        <w:t xml:space="preserve">les étudiants, </w:t>
      </w:r>
      <w:r w:rsidR="00FD2770">
        <w:rPr>
          <w:rFonts w:ascii="Times New Roman" w:hAnsi="Times New Roman"/>
          <w:lang w:val="fr-FR"/>
        </w:rPr>
        <w:t xml:space="preserve">les personnes sans </w:t>
      </w:r>
      <w:r w:rsidR="0005528E">
        <w:rPr>
          <w:rFonts w:ascii="Times New Roman" w:hAnsi="Times New Roman"/>
          <w:lang w:val="fr-FR"/>
        </w:rPr>
        <w:t xml:space="preserve">emploi et </w:t>
      </w:r>
      <w:r w:rsidR="00A11336">
        <w:rPr>
          <w:rFonts w:ascii="Times New Roman" w:hAnsi="Times New Roman"/>
          <w:lang w:val="fr-FR"/>
        </w:rPr>
        <w:t>les retraités</w:t>
      </w:r>
      <w:r w:rsidR="00A42D9D">
        <w:rPr>
          <w:rFonts w:ascii="Times New Roman" w:hAnsi="Times New Roman"/>
          <w:lang w:val="fr-FR"/>
        </w:rPr>
        <w:t>.</w:t>
      </w:r>
      <w:r w:rsidR="00C12DCD">
        <w:rPr>
          <w:rFonts w:ascii="Times New Roman" w:hAnsi="Times New Roman"/>
          <w:lang w:val="fr-FR"/>
        </w:rPr>
        <w:t xml:space="preserve"> </w:t>
      </w:r>
    </w:p>
    <w:p w:rsidR="00F90545" w:rsidRDefault="00532ABB" w:rsidP="00F90545">
      <w:pPr>
        <w:spacing w:before="120" w:line="360" w:lineRule="auto"/>
        <w:jc w:val="both"/>
        <w:rPr>
          <w:rFonts w:ascii="Times New Roman" w:hAnsi="Times New Roman"/>
          <w:lang w:val="fr-FR"/>
        </w:rPr>
      </w:pPr>
      <w:r w:rsidRPr="008E069E">
        <w:rPr>
          <w:rFonts w:ascii="Times New Roman" w:hAnsi="Times New Roman"/>
          <w:lang w:val="fr-FR"/>
        </w:rPr>
        <w:t>L</w:t>
      </w:r>
      <w:r w:rsidR="00455EA9" w:rsidRPr="008E069E">
        <w:rPr>
          <w:rFonts w:ascii="Times New Roman" w:hAnsi="Times New Roman"/>
          <w:lang w:val="fr-FR"/>
        </w:rPr>
        <w:t>e</w:t>
      </w:r>
      <w:r w:rsidR="00FD2770" w:rsidRPr="008E069E">
        <w:rPr>
          <w:rFonts w:ascii="Times New Roman" w:hAnsi="Times New Roman"/>
          <w:lang w:val="fr-FR"/>
        </w:rPr>
        <w:t xml:space="preserve"> droit de circuler et de séjourner librement sur le territoire des Etats membres</w:t>
      </w:r>
      <w:r w:rsidR="00320D12" w:rsidRPr="008E069E">
        <w:rPr>
          <w:rFonts w:ascii="Times New Roman" w:hAnsi="Times New Roman"/>
          <w:lang w:val="fr-FR"/>
        </w:rPr>
        <w:t xml:space="preserve"> </w:t>
      </w:r>
      <w:r w:rsidR="00455EA9" w:rsidRPr="008E069E">
        <w:rPr>
          <w:rFonts w:ascii="Times New Roman" w:hAnsi="Times New Roman"/>
          <w:lang w:val="fr-FR"/>
        </w:rPr>
        <w:t xml:space="preserve">leur est </w:t>
      </w:r>
      <w:r w:rsidR="0006308A" w:rsidRPr="008E069E">
        <w:rPr>
          <w:rFonts w:ascii="Times New Roman" w:hAnsi="Times New Roman"/>
          <w:lang w:val="fr-FR"/>
        </w:rPr>
        <w:t xml:space="preserve">directement </w:t>
      </w:r>
      <w:r w:rsidR="00455EA9" w:rsidRPr="008E069E">
        <w:rPr>
          <w:rFonts w:ascii="Times New Roman" w:hAnsi="Times New Roman"/>
          <w:lang w:val="fr-FR"/>
        </w:rPr>
        <w:t xml:space="preserve">reconnu </w:t>
      </w:r>
      <w:r w:rsidR="00F333A6">
        <w:rPr>
          <w:rFonts w:ascii="Times New Roman" w:hAnsi="Times New Roman"/>
          <w:lang w:val="fr-FR"/>
        </w:rPr>
        <w:t xml:space="preserve">à tous </w:t>
      </w:r>
      <w:r w:rsidR="00455EA9" w:rsidRPr="008E069E">
        <w:rPr>
          <w:rFonts w:ascii="Times New Roman" w:hAnsi="Times New Roman"/>
          <w:lang w:val="fr-FR"/>
        </w:rPr>
        <w:t xml:space="preserve">par </w:t>
      </w:r>
      <w:r w:rsidR="00840C50">
        <w:rPr>
          <w:rFonts w:ascii="Times New Roman" w:hAnsi="Times New Roman"/>
          <w:lang w:val="fr-FR"/>
        </w:rPr>
        <w:t>« </w:t>
      </w:r>
      <w:r w:rsidR="00320D12" w:rsidRPr="008E069E">
        <w:rPr>
          <w:lang w:val="fr-FR"/>
        </w:rPr>
        <w:t>une disposition claire et précise du</w:t>
      </w:r>
      <w:r w:rsidR="00455EA9" w:rsidRPr="008E069E">
        <w:rPr>
          <w:rFonts w:ascii="Times New Roman" w:hAnsi="Times New Roman"/>
          <w:lang w:val="fr-FR"/>
        </w:rPr>
        <w:t xml:space="preserve"> traité</w:t>
      </w:r>
      <w:r w:rsidR="00840C50">
        <w:rPr>
          <w:rFonts w:ascii="Times New Roman" w:hAnsi="Times New Roman"/>
          <w:lang w:val="fr-FR"/>
        </w:rPr>
        <w:t> »</w:t>
      </w:r>
      <w:r w:rsidR="00455EA9" w:rsidRPr="008E069E">
        <w:rPr>
          <w:rFonts w:ascii="Times New Roman" w:hAnsi="Times New Roman"/>
          <w:lang w:val="fr-FR"/>
        </w:rPr>
        <w:t>,</w:t>
      </w:r>
      <w:r w:rsidR="00FD2770" w:rsidRPr="008E069E">
        <w:rPr>
          <w:rFonts w:ascii="Times New Roman" w:hAnsi="Times New Roman"/>
          <w:lang w:val="fr-FR"/>
        </w:rPr>
        <w:t xml:space="preserve"> </w:t>
      </w:r>
      <w:r w:rsidR="00840C50">
        <w:rPr>
          <w:rFonts w:ascii="Times New Roman" w:hAnsi="Times New Roman"/>
          <w:lang w:val="fr-FR"/>
        </w:rPr>
        <w:t xml:space="preserve">l’article 21 TFUE, </w:t>
      </w:r>
      <w:r w:rsidR="00320D12" w:rsidRPr="008E069E">
        <w:rPr>
          <w:rFonts w:ascii="Times New Roman" w:hAnsi="Times New Roman"/>
          <w:lang w:val="fr-FR"/>
        </w:rPr>
        <w:t xml:space="preserve">qui </w:t>
      </w:r>
      <w:r w:rsidR="008E069E" w:rsidRPr="008E069E">
        <w:rPr>
          <w:lang w:val="fr-FR"/>
        </w:rPr>
        <w:t xml:space="preserve">confère </w:t>
      </w:r>
      <w:r w:rsidR="00D30C06">
        <w:rPr>
          <w:lang w:val="fr-FR"/>
        </w:rPr>
        <w:t>« </w:t>
      </w:r>
      <w:r w:rsidR="00F666C7">
        <w:rPr>
          <w:lang w:val="fr-FR"/>
        </w:rPr>
        <w:t>aux particuliers des droits qu’</w:t>
      </w:r>
      <w:r w:rsidR="00320D12" w:rsidRPr="008E069E">
        <w:rPr>
          <w:lang w:val="fr-FR"/>
        </w:rPr>
        <w:t>ils peuvent faire valoir en justice et que les juridictions nationales doivent sauvegarder</w:t>
      </w:r>
      <w:r w:rsidR="00D30C06">
        <w:rPr>
          <w:lang w:val="fr-FR"/>
        </w:rPr>
        <w:t> ».</w:t>
      </w:r>
      <w:r w:rsidR="00D30C06" w:rsidRPr="008E069E">
        <w:rPr>
          <w:rStyle w:val="FootnoteReference"/>
          <w:rFonts w:ascii="Times New Roman" w:hAnsi="Times New Roman"/>
          <w:lang w:val="fr-FR"/>
        </w:rPr>
        <w:footnoteReference w:id="1"/>
      </w:r>
      <w:r w:rsidR="00320D12" w:rsidRPr="008E069E">
        <w:rPr>
          <w:lang w:val="fr-FR"/>
        </w:rPr>
        <w:t xml:space="preserve"> </w:t>
      </w:r>
      <w:r w:rsidR="00840C50">
        <w:rPr>
          <w:rFonts w:ascii="Times New Roman" w:hAnsi="Times New Roman"/>
          <w:lang w:val="fr-FR"/>
        </w:rPr>
        <w:t xml:space="preserve">Lesdits droits </w:t>
      </w:r>
      <w:r w:rsidR="00787B09">
        <w:rPr>
          <w:rFonts w:ascii="Times New Roman" w:hAnsi="Times New Roman"/>
          <w:lang w:val="fr-FR"/>
        </w:rPr>
        <w:t>s’exerce</w:t>
      </w:r>
      <w:r w:rsidR="00840C50">
        <w:rPr>
          <w:rFonts w:ascii="Times New Roman" w:hAnsi="Times New Roman"/>
          <w:lang w:val="fr-FR"/>
        </w:rPr>
        <w:t>nt toutefois</w:t>
      </w:r>
      <w:r w:rsidR="00787B09">
        <w:rPr>
          <w:rFonts w:ascii="Times New Roman" w:hAnsi="Times New Roman"/>
          <w:lang w:val="fr-FR"/>
        </w:rPr>
        <w:t xml:space="preserve"> « sous réserve des limitations et conditions prévues par les traités et par les dispositions prises pour le</w:t>
      </w:r>
      <w:r w:rsidR="00F666C7">
        <w:rPr>
          <w:rFonts w:ascii="Times New Roman" w:hAnsi="Times New Roman"/>
          <w:lang w:val="fr-FR"/>
        </w:rPr>
        <w:t>ur application ». Susceptible d’un contrôle juridictionnel devant le juge national</w:t>
      </w:r>
      <w:r w:rsidR="00CC1318">
        <w:rPr>
          <w:rFonts w:ascii="Times New Roman" w:hAnsi="Times New Roman"/>
          <w:lang w:val="fr-FR"/>
        </w:rPr>
        <w:t>, c</w:t>
      </w:r>
      <w:r w:rsidR="00F666C7">
        <w:rPr>
          <w:rFonts w:ascii="Times New Roman" w:hAnsi="Times New Roman"/>
          <w:lang w:val="fr-FR"/>
        </w:rPr>
        <w:t>es conditions e</w:t>
      </w:r>
      <w:r w:rsidR="003D0562">
        <w:rPr>
          <w:rFonts w:ascii="Times New Roman" w:hAnsi="Times New Roman"/>
          <w:lang w:val="fr-FR"/>
        </w:rPr>
        <w:t xml:space="preserve">t limitations, qui résultent </w:t>
      </w:r>
      <w:r w:rsidR="0006308A">
        <w:rPr>
          <w:rFonts w:ascii="Times New Roman" w:hAnsi="Times New Roman"/>
          <w:lang w:val="fr-FR"/>
        </w:rPr>
        <w:t xml:space="preserve">essentiellement </w:t>
      </w:r>
      <w:r w:rsidR="003D0562">
        <w:rPr>
          <w:rFonts w:ascii="Times New Roman" w:hAnsi="Times New Roman"/>
          <w:lang w:val="fr-FR"/>
        </w:rPr>
        <w:t xml:space="preserve">du droit dérivé, </w:t>
      </w:r>
      <w:r w:rsidR="00045706">
        <w:rPr>
          <w:rFonts w:ascii="Times New Roman" w:hAnsi="Times New Roman"/>
          <w:lang w:val="fr-FR"/>
        </w:rPr>
        <w:t xml:space="preserve">varient notamment en fonction du fait que le citoyen exerce une activité économique ou pas. </w:t>
      </w:r>
    </w:p>
    <w:p w:rsidR="0090559A" w:rsidRPr="004E4ED4" w:rsidRDefault="00F90545" w:rsidP="00F90545">
      <w:pPr>
        <w:spacing w:before="120" w:line="360" w:lineRule="auto"/>
        <w:jc w:val="both"/>
        <w:rPr>
          <w:rFonts w:ascii="Times New Roman" w:hAnsi="Times New Roman"/>
          <w:lang w:val="fr-FR"/>
        </w:rPr>
      </w:pPr>
      <w:r>
        <w:rPr>
          <w:rFonts w:ascii="Times New Roman" w:hAnsi="Times New Roman"/>
          <w:lang w:val="fr-FR"/>
        </w:rPr>
        <w:t xml:space="preserve">Pour ne pas empiéter sur </w:t>
      </w:r>
      <w:r w:rsidRPr="004E4ED4">
        <w:rPr>
          <w:rFonts w:ascii="Times New Roman" w:hAnsi="Times New Roman"/>
          <w:lang w:val="fr-FR"/>
        </w:rPr>
        <w:t xml:space="preserve">la contribution </w:t>
      </w:r>
      <w:r w:rsidR="00D95C33">
        <w:rPr>
          <w:rFonts w:ascii="Times New Roman" w:hAnsi="Times New Roman"/>
          <w:lang w:val="fr-FR"/>
        </w:rPr>
        <w:t xml:space="preserve">au présent volume </w:t>
      </w:r>
      <w:r w:rsidRPr="004E4ED4">
        <w:rPr>
          <w:rFonts w:ascii="Times New Roman" w:hAnsi="Times New Roman"/>
          <w:lang w:val="fr-FR"/>
        </w:rPr>
        <w:t>de Jean-Yves Carlier</w:t>
      </w:r>
      <w:r w:rsidR="00D95C33">
        <w:rPr>
          <w:rFonts w:ascii="Times New Roman" w:hAnsi="Times New Roman"/>
          <w:lang w:val="fr-FR"/>
        </w:rPr>
        <w:t>,</w:t>
      </w:r>
      <w:r>
        <w:rPr>
          <w:rFonts w:ascii="Times New Roman" w:hAnsi="Times New Roman"/>
          <w:lang w:val="fr-FR"/>
        </w:rPr>
        <w:t xml:space="preserve"> </w:t>
      </w:r>
      <w:r w:rsidR="00D95C33">
        <w:rPr>
          <w:rFonts w:ascii="Times New Roman" w:hAnsi="Times New Roman"/>
          <w:lang w:val="fr-FR"/>
        </w:rPr>
        <w:t>relative à la marge d’appréciation du juge national en matière de libre circulation des travailleurs, l</w:t>
      </w:r>
      <w:r w:rsidR="003D0562">
        <w:rPr>
          <w:rFonts w:ascii="Times New Roman" w:hAnsi="Times New Roman"/>
          <w:lang w:val="fr-FR"/>
        </w:rPr>
        <w:t xml:space="preserve">a présente </w:t>
      </w:r>
      <w:r w:rsidR="00D95C33">
        <w:rPr>
          <w:rFonts w:ascii="Times New Roman" w:hAnsi="Times New Roman"/>
          <w:lang w:val="fr-FR"/>
        </w:rPr>
        <w:t xml:space="preserve">étude </w:t>
      </w:r>
      <w:r>
        <w:rPr>
          <w:rFonts w:ascii="Times New Roman" w:hAnsi="Times New Roman"/>
          <w:lang w:val="fr-FR"/>
        </w:rPr>
        <w:t>ne porte que sur la situation des</w:t>
      </w:r>
      <w:r w:rsidR="00D23E9E" w:rsidRPr="004E4ED4">
        <w:rPr>
          <w:rFonts w:ascii="Times New Roman" w:hAnsi="Times New Roman"/>
          <w:lang w:val="fr-FR"/>
        </w:rPr>
        <w:t xml:space="preserve"> </w:t>
      </w:r>
      <w:r>
        <w:rPr>
          <w:rFonts w:ascii="Times New Roman" w:hAnsi="Times New Roman"/>
          <w:lang w:val="fr-FR"/>
        </w:rPr>
        <w:t xml:space="preserve">seules </w:t>
      </w:r>
      <w:r w:rsidR="003F0CD8" w:rsidRPr="004E4ED4">
        <w:rPr>
          <w:rFonts w:ascii="Times New Roman" w:hAnsi="Times New Roman"/>
          <w:lang w:val="fr-FR"/>
        </w:rPr>
        <w:t>citoyens</w:t>
      </w:r>
      <w:r w:rsidR="00273DD9" w:rsidRPr="004E4ED4">
        <w:rPr>
          <w:rFonts w:ascii="Times New Roman" w:hAnsi="Times New Roman"/>
          <w:lang w:val="fr-FR"/>
        </w:rPr>
        <w:t xml:space="preserve"> </w:t>
      </w:r>
      <w:r w:rsidR="00A42965" w:rsidRPr="004E4ED4">
        <w:rPr>
          <w:rFonts w:ascii="Times New Roman" w:hAnsi="Times New Roman"/>
          <w:lang w:val="fr-FR"/>
        </w:rPr>
        <w:t>« </w:t>
      </w:r>
      <w:r w:rsidR="00273DD9" w:rsidRPr="004E4ED4">
        <w:rPr>
          <w:rFonts w:ascii="Times New Roman" w:hAnsi="Times New Roman"/>
          <w:lang w:val="fr-FR"/>
        </w:rPr>
        <w:t>n’ayant pas ou plus le statut de travailleur</w:t>
      </w:r>
      <w:r w:rsidR="00E7792C" w:rsidRPr="004E4ED4">
        <w:rPr>
          <w:rFonts w:ascii="Times New Roman" w:hAnsi="Times New Roman"/>
          <w:lang w:val="fr-FR"/>
        </w:rPr>
        <w:t xml:space="preserve"> salarié ou non salarié</w:t>
      </w:r>
      <w:r w:rsidR="00273DD9" w:rsidRPr="004E4ED4">
        <w:rPr>
          <w:rFonts w:ascii="Times New Roman" w:hAnsi="Times New Roman"/>
          <w:lang w:val="fr-FR"/>
        </w:rPr>
        <w:t xml:space="preserve"> </w:t>
      </w:r>
      <w:r w:rsidR="00BC2F35" w:rsidRPr="004E4ED4">
        <w:rPr>
          <w:rFonts w:ascii="Times New Roman" w:hAnsi="Times New Roman"/>
          <w:lang w:val="fr-FR"/>
        </w:rPr>
        <w:t>»</w:t>
      </w:r>
      <w:r w:rsidR="00A42965" w:rsidRPr="004E4ED4">
        <w:rPr>
          <w:rFonts w:ascii="Times New Roman" w:hAnsi="Times New Roman"/>
          <w:lang w:val="fr-FR"/>
        </w:rPr>
        <w:t xml:space="preserve"> </w:t>
      </w:r>
      <w:r w:rsidR="006A43A8" w:rsidRPr="004E4ED4">
        <w:rPr>
          <w:rFonts w:ascii="Times New Roman" w:hAnsi="Times New Roman"/>
          <w:lang w:val="fr-FR"/>
        </w:rPr>
        <w:t>c’est-à-</w:t>
      </w:r>
      <w:r w:rsidR="005511F1" w:rsidRPr="004E4ED4">
        <w:rPr>
          <w:rFonts w:ascii="Times New Roman" w:hAnsi="Times New Roman"/>
          <w:lang w:val="fr-FR"/>
        </w:rPr>
        <w:t xml:space="preserve">dire de ceux qui sont </w:t>
      </w:r>
      <w:r w:rsidR="00A42965" w:rsidRPr="004E4ED4">
        <w:rPr>
          <w:rFonts w:ascii="Times New Roman" w:hAnsi="Times New Roman"/>
          <w:lang w:val="fr-FR"/>
        </w:rPr>
        <w:t>économiquement inactif</w:t>
      </w:r>
      <w:r w:rsidR="00D95C33">
        <w:rPr>
          <w:rFonts w:ascii="Times New Roman" w:hAnsi="Times New Roman"/>
          <w:lang w:val="fr-FR"/>
        </w:rPr>
        <w:t>s.</w:t>
      </w:r>
      <w:r w:rsidR="0006308A">
        <w:rPr>
          <w:rFonts w:ascii="Times New Roman" w:hAnsi="Times New Roman"/>
          <w:lang w:val="fr-FR"/>
        </w:rPr>
        <w:t xml:space="preserve"> </w:t>
      </w:r>
      <w:r w:rsidR="000B68B1">
        <w:rPr>
          <w:rFonts w:ascii="Times New Roman" w:hAnsi="Times New Roman"/>
          <w:lang w:val="fr-FR"/>
        </w:rPr>
        <w:t>C’est précisément à leur égard que la reconnaissance du statut de citoyen de l’Union et sa concrétisation à travers la jurisprudence de la Cour de justice a eu le plus grand impact.</w:t>
      </w:r>
    </w:p>
    <w:p w:rsidR="005F614E" w:rsidRPr="004E4ED4" w:rsidRDefault="00754056" w:rsidP="008E069E">
      <w:pPr>
        <w:spacing w:before="120" w:line="360" w:lineRule="auto"/>
        <w:jc w:val="both"/>
        <w:rPr>
          <w:rFonts w:ascii="Times New Roman" w:hAnsi="Times New Roman"/>
          <w:lang w:val="fr-FR"/>
        </w:rPr>
      </w:pPr>
      <w:r w:rsidRPr="004E4ED4">
        <w:rPr>
          <w:rFonts w:ascii="Times New Roman" w:hAnsi="Times New Roman"/>
          <w:lang w:val="fr-FR"/>
        </w:rPr>
        <w:t>L</w:t>
      </w:r>
      <w:r w:rsidR="00D23E9E" w:rsidRPr="004E4ED4">
        <w:rPr>
          <w:rFonts w:ascii="Times New Roman" w:hAnsi="Times New Roman"/>
          <w:lang w:val="fr-FR"/>
        </w:rPr>
        <w:t xml:space="preserve">es droits des citoyens de l’Union et des membres de leurs familles </w:t>
      </w:r>
      <w:r w:rsidR="00280C3B" w:rsidRPr="004E4ED4">
        <w:rPr>
          <w:rFonts w:ascii="Times New Roman" w:hAnsi="Times New Roman"/>
          <w:lang w:val="fr-FR"/>
        </w:rPr>
        <w:t>en matière de l</w:t>
      </w:r>
      <w:r w:rsidRPr="004E4ED4">
        <w:rPr>
          <w:rFonts w:ascii="Times New Roman" w:hAnsi="Times New Roman"/>
          <w:lang w:val="fr-FR"/>
        </w:rPr>
        <w:t xml:space="preserve">ibre circulation </w:t>
      </w:r>
      <w:r w:rsidR="00280C3B" w:rsidRPr="004E4ED4">
        <w:rPr>
          <w:rFonts w:ascii="Times New Roman" w:hAnsi="Times New Roman"/>
          <w:lang w:val="fr-FR"/>
        </w:rPr>
        <w:t xml:space="preserve">et de séjour résultent </w:t>
      </w:r>
      <w:r w:rsidR="00954CE1" w:rsidRPr="004E4ED4">
        <w:rPr>
          <w:rFonts w:ascii="Times New Roman" w:hAnsi="Times New Roman"/>
          <w:lang w:val="fr-FR"/>
        </w:rPr>
        <w:t xml:space="preserve">pour l’essentiel </w:t>
      </w:r>
      <w:r w:rsidR="00280C3B" w:rsidRPr="004E4ED4">
        <w:rPr>
          <w:rFonts w:ascii="Times New Roman" w:hAnsi="Times New Roman"/>
          <w:lang w:val="fr-FR"/>
        </w:rPr>
        <w:t>des article</w:t>
      </w:r>
      <w:r w:rsidR="00C31EAE" w:rsidRPr="004E4ED4">
        <w:rPr>
          <w:rFonts w:ascii="Times New Roman" w:hAnsi="Times New Roman"/>
          <w:lang w:val="fr-FR"/>
        </w:rPr>
        <w:t>s</w:t>
      </w:r>
      <w:r w:rsidR="00F333A6">
        <w:rPr>
          <w:rFonts w:ascii="Times New Roman" w:hAnsi="Times New Roman"/>
          <w:lang w:val="fr-FR"/>
        </w:rPr>
        <w:t xml:space="preserve"> 20 et 21 TFUE et de la d</w:t>
      </w:r>
      <w:r w:rsidR="00280C3B" w:rsidRPr="004E4ED4">
        <w:rPr>
          <w:rFonts w:ascii="Times New Roman" w:hAnsi="Times New Roman"/>
          <w:lang w:val="fr-FR"/>
        </w:rPr>
        <w:t xml:space="preserve">irective 2004/38 </w:t>
      </w:r>
      <w:r w:rsidR="00F333A6">
        <w:rPr>
          <w:rFonts w:ascii="Times New Roman" w:hAnsi="Times New Roman"/>
          <w:lang w:val="fr-FR"/>
        </w:rPr>
        <w:t>du 29 avril 2004</w:t>
      </w:r>
      <w:r w:rsidR="00633D7A">
        <w:rPr>
          <w:rFonts w:ascii="Times New Roman" w:hAnsi="Times New Roman"/>
          <w:lang w:val="fr-FR"/>
        </w:rPr>
        <w:t xml:space="preserve"> </w:t>
      </w:r>
      <w:r w:rsidR="00F333A6">
        <w:rPr>
          <w:rStyle w:val="FootnoteReference"/>
          <w:rFonts w:ascii="Times New Roman" w:hAnsi="Times New Roman"/>
          <w:lang w:val="fr-FR"/>
        </w:rPr>
        <w:footnoteReference w:id="2"/>
      </w:r>
      <w:r w:rsidR="00F333A6">
        <w:rPr>
          <w:rFonts w:ascii="Times New Roman" w:hAnsi="Times New Roman"/>
          <w:lang w:val="fr-FR"/>
        </w:rPr>
        <w:t xml:space="preserve"> </w:t>
      </w:r>
      <w:r w:rsidR="00280C3B" w:rsidRPr="004E4ED4">
        <w:rPr>
          <w:rFonts w:ascii="Times New Roman" w:hAnsi="Times New Roman"/>
          <w:lang w:val="fr-FR"/>
        </w:rPr>
        <w:t>tels qu’interprétés par l</w:t>
      </w:r>
      <w:r w:rsidR="00255CDD" w:rsidRPr="004E4ED4">
        <w:rPr>
          <w:rFonts w:ascii="Times New Roman" w:hAnsi="Times New Roman"/>
          <w:lang w:val="fr-FR"/>
        </w:rPr>
        <w:t xml:space="preserve">a Cour de justice. La Cour a </w:t>
      </w:r>
      <w:r w:rsidR="00280C3B" w:rsidRPr="004E4ED4">
        <w:rPr>
          <w:rFonts w:ascii="Times New Roman" w:hAnsi="Times New Roman"/>
          <w:lang w:val="fr-FR"/>
        </w:rPr>
        <w:t>déjà rendu un nombre impressionnant d’arrêts sur renvoi préjudiciel dans ce domaine. Depuis son premier arrêt dans l’</w:t>
      </w:r>
      <w:bookmarkStart w:id="0" w:name="_GoBack"/>
      <w:r w:rsidR="00280C3B" w:rsidRPr="004E4ED4">
        <w:rPr>
          <w:rFonts w:ascii="Times New Roman" w:hAnsi="Times New Roman"/>
          <w:lang w:val="fr-FR"/>
        </w:rPr>
        <w:t>aff</w:t>
      </w:r>
      <w:bookmarkEnd w:id="0"/>
      <w:r w:rsidR="00280C3B" w:rsidRPr="004E4ED4">
        <w:rPr>
          <w:rFonts w:ascii="Times New Roman" w:hAnsi="Times New Roman"/>
          <w:lang w:val="fr-FR"/>
        </w:rPr>
        <w:t xml:space="preserve">aire </w:t>
      </w:r>
      <w:r w:rsidR="00280C3B" w:rsidRPr="009D06FD">
        <w:rPr>
          <w:rFonts w:ascii="Times New Roman" w:hAnsi="Times New Roman"/>
          <w:i/>
          <w:lang w:val="fr-FR"/>
        </w:rPr>
        <w:t>Martinez Sala</w:t>
      </w:r>
      <w:r w:rsidR="00280C3B" w:rsidRPr="004E4ED4">
        <w:rPr>
          <w:rFonts w:ascii="Times New Roman" w:hAnsi="Times New Roman"/>
          <w:lang w:val="fr-FR"/>
        </w:rPr>
        <w:t xml:space="preserve"> du 12 mai 1998 et jusqu’au 30 novembre 2013 on peut dénombrer </w:t>
      </w:r>
      <w:r w:rsidR="007D601E" w:rsidRPr="004E4ED4">
        <w:rPr>
          <w:rFonts w:ascii="Times New Roman" w:hAnsi="Times New Roman"/>
          <w:lang w:val="fr-FR"/>
        </w:rPr>
        <w:t>plus de 80 arrêts sur le site web de la Cour de justice.</w:t>
      </w:r>
      <w:r w:rsidR="007D601E" w:rsidRPr="004E4ED4">
        <w:rPr>
          <w:rStyle w:val="FootnoteReference"/>
          <w:rFonts w:ascii="Times New Roman" w:hAnsi="Times New Roman"/>
          <w:lang w:val="fr-FR"/>
        </w:rPr>
        <w:footnoteReference w:id="3"/>
      </w:r>
      <w:r w:rsidR="005511F1" w:rsidRPr="004E4ED4">
        <w:rPr>
          <w:rFonts w:ascii="Times New Roman" w:hAnsi="Times New Roman"/>
          <w:lang w:val="fr-FR"/>
        </w:rPr>
        <w:t xml:space="preserve"> La présente contribution se fondera sur une sélection </w:t>
      </w:r>
      <w:r w:rsidR="009D06FD">
        <w:rPr>
          <w:rFonts w:ascii="Times New Roman" w:hAnsi="Times New Roman"/>
          <w:lang w:val="fr-FR"/>
        </w:rPr>
        <w:t xml:space="preserve">de </w:t>
      </w:r>
      <w:r w:rsidR="005511F1" w:rsidRPr="004E4ED4">
        <w:rPr>
          <w:rFonts w:ascii="Times New Roman" w:hAnsi="Times New Roman"/>
          <w:lang w:val="fr-FR"/>
        </w:rPr>
        <w:t>deux douzaines parmi ces arrêts.</w:t>
      </w:r>
    </w:p>
    <w:p w:rsidR="00A7272B" w:rsidRDefault="00E7792C" w:rsidP="008E069E">
      <w:pPr>
        <w:spacing w:before="120" w:line="360" w:lineRule="auto"/>
        <w:jc w:val="both"/>
        <w:rPr>
          <w:rFonts w:ascii="Times New Roman" w:hAnsi="Times New Roman"/>
          <w:lang w:val="fr-FR"/>
        </w:rPr>
      </w:pPr>
      <w:r w:rsidRPr="004E4ED4">
        <w:rPr>
          <w:rFonts w:ascii="Times New Roman" w:hAnsi="Times New Roman"/>
          <w:lang w:val="fr-FR"/>
        </w:rPr>
        <w:t>Sans</w:t>
      </w:r>
      <w:r w:rsidR="00C31EAE" w:rsidRPr="004E4ED4">
        <w:rPr>
          <w:rFonts w:ascii="Times New Roman" w:hAnsi="Times New Roman"/>
          <w:lang w:val="fr-FR"/>
        </w:rPr>
        <w:t xml:space="preserve"> prétention à l’exhaustivité, i</w:t>
      </w:r>
      <w:r w:rsidR="005F614E" w:rsidRPr="004E4ED4">
        <w:rPr>
          <w:rFonts w:ascii="Times New Roman" w:hAnsi="Times New Roman"/>
          <w:lang w:val="fr-FR"/>
        </w:rPr>
        <w:t>ls portent sur des questions aussi variées que le d</w:t>
      </w:r>
      <w:r w:rsidR="002D4818" w:rsidRPr="004E4ED4">
        <w:rPr>
          <w:rFonts w:ascii="Times New Roman" w:hAnsi="Times New Roman"/>
          <w:lang w:val="fr-FR"/>
        </w:rPr>
        <w:t>roit de séjour</w:t>
      </w:r>
      <w:r w:rsidR="005F614E" w:rsidRPr="004E4ED4">
        <w:rPr>
          <w:rFonts w:ascii="Times New Roman" w:hAnsi="Times New Roman"/>
          <w:lang w:val="fr-FR"/>
        </w:rPr>
        <w:t xml:space="preserve"> proprement dit</w:t>
      </w:r>
      <w:r w:rsidR="00157B4E" w:rsidRPr="004E4ED4">
        <w:rPr>
          <w:rFonts w:ascii="Times New Roman" w:hAnsi="Times New Roman"/>
          <w:lang w:val="fr-FR"/>
        </w:rPr>
        <w:t xml:space="preserve"> du citoyen et des membres de sa famille</w:t>
      </w:r>
      <w:r w:rsidR="002D4818" w:rsidRPr="004E4ED4">
        <w:rPr>
          <w:rFonts w:ascii="Times New Roman" w:hAnsi="Times New Roman"/>
          <w:lang w:val="fr-FR"/>
        </w:rPr>
        <w:t xml:space="preserve">, </w:t>
      </w:r>
      <w:r w:rsidR="005F614E" w:rsidRPr="004E4ED4">
        <w:rPr>
          <w:rFonts w:ascii="Times New Roman" w:hAnsi="Times New Roman"/>
          <w:lang w:val="fr-FR"/>
        </w:rPr>
        <w:t xml:space="preserve">le principe de </w:t>
      </w:r>
      <w:r w:rsidR="002D4818" w:rsidRPr="004E4ED4">
        <w:rPr>
          <w:rFonts w:ascii="Times New Roman" w:hAnsi="Times New Roman"/>
          <w:lang w:val="fr-FR"/>
        </w:rPr>
        <w:t xml:space="preserve">non-discrimination, </w:t>
      </w:r>
      <w:r w:rsidR="005F614E" w:rsidRPr="004E4ED4">
        <w:rPr>
          <w:rFonts w:ascii="Times New Roman" w:hAnsi="Times New Roman"/>
          <w:lang w:val="fr-FR"/>
        </w:rPr>
        <w:t xml:space="preserve">l’accès aux prestations sociales et aux aides à la formation, les règles de fixation du nom patronymique, </w:t>
      </w:r>
      <w:r w:rsidR="00157B4E" w:rsidRPr="004E4ED4">
        <w:rPr>
          <w:rFonts w:ascii="Times New Roman" w:hAnsi="Times New Roman"/>
          <w:lang w:val="fr-FR"/>
        </w:rPr>
        <w:t>les prérogatives des Etats membres en matière d’attribution et de retrait de leur nationalité et la compatibilit</w:t>
      </w:r>
      <w:r w:rsidR="00B82745">
        <w:rPr>
          <w:rFonts w:ascii="Times New Roman" w:hAnsi="Times New Roman"/>
          <w:lang w:val="fr-FR"/>
        </w:rPr>
        <w:t xml:space="preserve">é avec le droit de l’Union de divers </w:t>
      </w:r>
      <w:r w:rsidR="004607CB">
        <w:rPr>
          <w:rFonts w:ascii="Times New Roman" w:hAnsi="Times New Roman"/>
          <w:lang w:val="fr-FR"/>
        </w:rPr>
        <w:t xml:space="preserve">entraves aux </w:t>
      </w:r>
      <w:r w:rsidR="00B82745">
        <w:rPr>
          <w:rFonts w:ascii="Times New Roman" w:hAnsi="Times New Roman"/>
          <w:lang w:val="fr-FR"/>
        </w:rPr>
        <w:t xml:space="preserve">droits </w:t>
      </w:r>
      <w:r w:rsidR="004607CB">
        <w:rPr>
          <w:rFonts w:ascii="Times New Roman" w:hAnsi="Times New Roman"/>
          <w:lang w:val="fr-FR"/>
        </w:rPr>
        <w:t xml:space="preserve">des citoyens de l’Union </w:t>
      </w:r>
      <w:r w:rsidR="00B82745">
        <w:rPr>
          <w:rFonts w:ascii="Times New Roman" w:hAnsi="Times New Roman"/>
          <w:lang w:val="fr-FR"/>
        </w:rPr>
        <w:t>en matière de</w:t>
      </w:r>
      <w:r w:rsidR="00C13441">
        <w:rPr>
          <w:rFonts w:ascii="Times New Roman" w:hAnsi="Times New Roman"/>
          <w:lang w:val="fr-FR"/>
        </w:rPr>
        <w:t xml:space="preserve"> </w:t>
      </w:r>
      <w:r w:rsidR="00B82745">
        <w:rPr>
          <w:rFonts w:ascii="Times New Roman" w:hAnsi="Times New Roman"/>
          <w:lang w:val="fr-FR"/>
        </w:rPr>
        <w:t xml:space="preserve">libre </w:t>
      </w:r>
      <w:r w:rsidR="00C13441">
        <w:rPr>
          <w:rFonts w:ascii="Times New Roman" w:hAnsi="Times New Roman"/>
          <w:lang w:val="fr-FR"/>
        </w:rPr>
        <w:t>circulation</w:t>
      </w:r>
      <w:r w:rsidR="00157B4E" w:rsidRPr="004E4ED4">
        <w:rPr>
          <w:rFonts w:ascii="Times New Roman" w:hAnsi="Times New Roman"/>
          <w:lang w:val="fr-FR"/>
        </w:rPr>
        <w:t>.</w:t>
      </w:r>
    </w:p>
    <w:p w:rsidR="008F69F8" w:rsidRDefault="004C1DC0" w:rsidP="008E069E">
      <w:pPr>
        <w:spacing w:before="120" w:line="360" w:lineRule="auto"/>
        <w:jc w:val="both"/>
        <w:rPr>
          <w:rFonts w:ascii="Times New Roman" w:hAnsi="Times New Roman"/>
          <w:lang w:val="fr-FR"/>
        </w:rPr>
      </w:pPr>
      <w:r>
        <w:rPr>
          <w:rFonts w:ascii="Times New Roman" w:hAnsi="Times New Roman"/>
          <w:lang w:val="fr-FR"/>
        </w:rPr>
        <w:t>Saisie dans le cadre de renvois</w:t>
      </w:r>
      <w:r w:rsidR="00A7272B">
        <w:rPr>
          <w:rFonts w:ascii="Times New Roman" w:hAnsi="Times New Roman"/>
          <w:lang w:val="fr-FR"/>
        </w:rPr>
        <w:t xml:space="preserve"> préjudiciels </w:t>
      </w:r>
      <w:r>
        <w:rPr>
          <w:rFonts w:ascii="Times New Roman" w:hAnsi="Times New Roman"/>
          <w:lang w:val="fr-FR"/>
        </w:rPr>
        <w:t xml:space="preserve">et conformément à l’esprit de coopération qui régit cette procédure, la </w:t>
      </w:r>
      <w:r w:rsidR="00A7272B">
        <w:rPr>
          <w:rFonts w:ascii="Times New Roman" w:hAnsi="Times New Roman"/>
          <w:lang w:val="fr-FR"/>
        </w:rPr>
        <w:t>Cour reconnaît alors u</w:t>
      </w:r>
      <w:r>
        <w:rPr>
          <w:rFonts w:ascii="Times New Roman" w:hAnsi="Times New Roman"/>
          <w:lang w:val="fr-FR"/>
        </w:rPr>
        <w:t>n</w:t>
      </w:r>
      <w:r w:rsidR="00A7272B">
        <w:rPr>
          <w:rFonts w:ascii="Times New Roman" w:hAnsi="Times New Roman"/>
          <w:lang w:val="fr-FR"/>
        </w:rPr>
        <w:t xml:space="preserve">e certaine marge </w:t>
      </w:r>
      <w:r>
        <w:rPr>
          <w:rFonts w:ascii="Times New Roman" w:hAnsi="Times New Roman"/>
          <w:lang w:val="fr-FR"/>
        </w:rPr>
        <w:t xml:space="preserve">d’appréciation au juge national. </w:t>
      </w:r>
      <w:r w:rsidR="00753C2A">
        <w:rPr>
          <w:rFonts w:ascii="Times New Roman" w:hAnsi="Times New Roman"/>
          <w:lang w:val="fr-FR"/>
        </w:rPr>
        <w:t xml:space="preserve">Cette marge d’appréciation </w:t>
      </w:r>
      <w:proofErr w:type="gramStart"/>
      <w:r w:rsidR="004607CB">
        <w:rPr>
          <w:rFonts w:ascii="Times New Roman" w:hAnsi="Times New Roman"/>
          <w:lang w:val="fr-FR"/>
        </w:rPr>
        <w:t>fait</w:t>
      </w:r>
      <w:proofErr w:type="gramEnd"/>
      <w:r w:rsidR="004607CB">
        <w:rPr>
          <w:rFonts w:ascii="Times New Roman" w:hAnsi="Times New Roman"/>
          <w:lang w:val="fr-FR"/>
        </w:rPr>
        <w:t xml:space="preserve"> néanmoins l’objet d’un encadrement plus ou moins stricte </w:t>
      </w:r>
      <w:r w:rsidR="00B12C11">
        <w:rPr>
          <w:rFonts w:ascii="Times New Roman" w:hAnsi="Times New Roman"/>
          <w:lang w:val="fr-FR"/>
        </w:rPr>
        <w:t xml:space="preserve">de sa part et ceci </w:t>
      </w:r>
      <w:r w:rsidR="004607CB">
        <w:rPr>
          <w:rFonts w:ascii="Times New Roman" w:hAnsi="Times New Roman"/>
          <w:lang w:val="fr-FR"/>
        </w:rPr>
        <w:t xml:space="preserve">en fonction </w:t>
      </w:r>
      <w:r w:rsidR="00533A28">
        <w:rPr>
          <w:rFonts w:ascii="Times New Roman" w:hAnsi="Times New Roman"/>
          <w:lang w:val="fr-FR"/>
        </w:rPr>
        <w:t>de toute une série de facteurs que la présente contribution cherchera à identifier plus précisément.</w:t>
      </w:r>
    </w:p>
    <w:p w:rsidR="00A7272B" w:rsidRPr="008F69F8" w:rsidRDefault="008F69F8" w:rsidP="008E069E">
      <w:pPr>
        <w:spacing w:before="120" w:line="360" w:lineRule="auto"/>
        <w:jc w:val="both"/>
        <w:rPr>
          <w:rFonts w:ascii="Times New Roman" w:hAnsi="Times New Roman"/>
          <w:lang w:val="fr-FR"/>
        </w:rPr>
      </w:pPr>
      <w:r w:rsidRPr="008F69F8">
        <w:rPr>
          <w:lang w:val="fr-FR"/>
        </w:rPr>
        <w:t xml:space="preserve">“Le droit de l’immigration est en principe un domaine qui relève de la compétence des États membres. À moins qu’il ne s’agisse d’une situation dans laquelle un ressortissant d’un État membre (qui, du fait de sa nationalité, est également un citoyen de l’Union) a franchi une frontière avec un autre État membre ou dans laquelle il existe une perspective réelle qu’il le fasse, les droits de circuler et de séjourner librement en vertu du droit de l’Union ne sont en principe pas en cause et seul le droit national s’applique.” Conclusions </w:t>
      </w:r>
      <w:proofErr w:type="spellStart"/>
      <w:r w:rsidRPr="008F69F8">
        <w:rPr>
          <w:lang w:val="fr-FR"/>
        </w:rPr>
        <w:t>Sharpston</w:t>
      </w:r>
      <w:proofErr w:type="spellEnd"/>
      <w:r w:rsidRPr="008F69F8">
        <w:rPr>
          <w:lang w:val="fr-FR"/>
        </w:rPr>
        <w:t xml:space="preserve"> point 38, présentées le 12 décembre 2013</w:t>
      </w:r>
      <w:r>
        <w:rPr>
          <w:lang w:val="fr-FR"/>
        </w:rPr>
        <w:t xml:space="preserve">, </w:t>
      </w:r>
      <w:r>
        <w:rPr>
          <w:b/>
        </w:rPr>
        <w:t xml:space="preserve">Affaires </w:t>
      </w:r>
      <w:proofErr w:type="spellStart"/>
      <w:r>
        <w:rPr>
          <w:b/>
        </w:rPr>
        <w:t>jointes</w:t>
      </w:r>
      <w:proofErr w:type="spellEnd"/>
      <w:r>
        <w:rPr>
          <w:b/>
        </w:rPr>
        <w:t xml:space="preserve"> C</w:t>
      </w:r>
      <w:r>
        <w:rPr>
          <w:b/>
        </w:rPr>
        <w:noBreakHyphen/>
        <w:t>456/12 et C-457/12, O. et S.</w:t>
      </w:r>
    </w:p>
    <w:p w:rsidR="001D76B4" w:rsidRPr="006741ED" w:rsidRDefault="00157B4E" w:rsidP="008E069E">
      <w:pPr>
        <w:spacing w:before="120" w:line="360" w:lineRule="auto"/>
        <w:jc w:val="both"/>
        <w:rPr>
          <w:rFonts w:ascii="Times New Roman" w:hAnsi="Times New Roman"/>
          <w:lang w:val="fr-FR"/>
        </w:rPr>
      </w:pPr>
      <w:r w:rsidRPr="006741ED">
        <w:rPr>
          <w:rFonts w:ascii="Times New Roman" w:hAnsi="Times New Roman"/>
          <w:lang w:val="fr-FR"/>
        </w:rPr>
        <w:t>Pour les besoins de cette présentation succincte</w:t>
      </w:r>
      <w:r w:rsidR="00B82745" w:rsidRPr="006741ED">
        <w:rPr>
          <w:rFonts w:ascii="Times New Roman" w:hAnsi="Times New Roman"/>
          <w:lang w:val="fr-FR"/>
        </w:rPr>
        <w:t>,</w:t>
      </w:r>
      <w:r w:rsidR="008743F1" w:rsidRPr="006741ED">
        <w:rPr>
          <w:rFonts w:ascii="Times New Roman" w:hAnsi="Times New Roman"/>
          <w:lang w:val="fr-FR"/>
        </w:rPr>
        <w:t xml:space="preserve"> la jurisprudence est </w:t>
      </w:r>
      <w:r w:rsidR="006772FE">
        <w:rPr>
          <w:rFonts w:ascii="Times New Roman" w:hAnsi="Times New Roman"/>
          <w:lang w:val="fr-FR"/>
        </w:rPr>
        <w:t xml:space="preserve">répartie et </w:t>
      </w:r>
      <w:r w:rsidR="008743F1" w:rsidRPr="006741ED">
        <w:rPr>
          <w:rFonts w:ascii="Times New Roman" w:hAnsi="Times New Roman"/>
          <w:lang w:val="fr-FR"/>
        </w:rPr>
        <w:t xml:space="preserve">analysée </w:t>
      </w:r>
      <w:r w:rsidRPr="006741ED">
        <w:rPr>
          <w:rFonts w:ascii="Times New Roman" w:hAnsi="Times New Roman"/>
          <w:lang w:val="fr-FR"/>
        </w:rPr>
        <w:t xml:space="preserve">en deux groupes selon qu’il s’agit </w:t>
      </w:r>
      <w:r w:rsidR="008743F1" w:rsidRPr="006741ED">
        <w:rPr>
          <w:rFonts w:ascii="Times New Roman" w:hAnsi="Times New Roman"/>
          <w:lang w:val="fr-FR"/>
        </w:rPr>
        <w:t xml:space="preserve">d’affaires portant sur </w:t>
      </w:r>
      <w:r w:rsidR="00D41372" w:rsidRPr="006741ED">
        <w:rPr>
          <w:rFonts w:ascii="Times New Roman" w:hAnsi="Times New Roman"/>
          <w:lang w:val="fr-FR"/>
        </w:rPr>
        <w:t>l</w:t>
      </w:r>
      <w:r w:rsidR="00336529" w:rsidRPr="006741ED">
        <w:rPr>
          <w:rFonts w:ascii="Times New Roman" w:hAnsi="Times New Roman"/>
          <w:lang w:val="fr-FR"/>
        </w:rPr>
        <w:t xml:space="preserve">es droits du citoyen lui-même ou </w:t>
      </w:r>
      <w:r w:rsidR="008743F1" w:rsidRPr="006741ED">
        <w:rPr>
          <w:rFonts w:ascii="Times New Roman" w:hAnsi="Times New Roman"/>
          <w:lang w:val="fr-FR"/>
        </w:rPr>
        <w:t>sur</w:t>
      </w:r>
      <w:r w:rsidR="00745FDB" w:rsidRPr="006741ED">
        <w:rPr>
          <w:rFonts w:ascii="Times New Roman" w:hAnsi="Times New Roman"/>
          <w:lang w:val="fr-FR"/>
        </w:rPr>
        <w:t xml:space="preserve"> ceux </w:t>
      </w:r>
      <w:r w:rsidR="00D41372" w:rsidRPr="006741ED">
        <w:rPr>
          <w:rFonts w:ascii="Times New Roman" w:hAnsi="Times New Roman"/>
          <w:lang w:val="fr-FR"/>
        </w:rPr>
        <w:t xml:space="preserve">de ressortissants d’Etats tiers, </w:t>
      </w:r>
      <w:r w:rsidR="00336529" w:rsidRPr="006741ED">
        <w:rPr>
          <w:rFonts w:ascii="Times New Roman" w:hAnsi="Times New Roman"/>
          <w:lang w:val="fr-FR"/>
        </w:rPr>
        <w:t xml:space="preserve">membres de sa famille. </w:t>
      </w:r>
      <w:r w:rsidR="00D41372" w:rsidRPr="006741ED">
        <w:rPr>
          <w:rFonts w:ascii="Times New Roman" w:hAnsi="Times New Roman"/>
          <w:lang w:val="fr-FR"/>
        </w:rPr>
        <w:t xml:space="preserve">S’agissant de ces derniers </w:t>
      </w:r>
      <w:r w:rsidR="003B611C" w:rsidRPr="006741ED">
        <w:rPr>
          <w:rFonts w:ascii="Times New Roman" w:hAnsi="Times New Roman"/>
          <w:lang w:val="fr-FR"/>
        </w:rPr>
        <w:t xml:space="preserve">la Cour </w:t>
      </w:r>
      <w:r w:rsidR="00E24E60" w:rsidRPr="006741ED">
        <w:rPr>
          <w:rFonts w:ascii="Times New Roman" w:hAnsi="Times New Roman"/>
          <w:lang w:val="fr-FR"/>
        </w:rPr>
        <w:t xml:space="preserve">rappelle en effet </w:t>
      </w:r>
      <w:r w:rsidR="00657BA9" w:rsidRPr="006741ED">
        <w:rPr>
          <w:rFonts w:ascii="Times New Roman" w:hAnsi="Times New Roman"/>
          <w:lang w:val="fr-FR"/>
        </w:rPr>
        <w:t>r</w:t>
      </w:r>
      <w:r w:rsidR="006741ED" w:rsidRPr="006741ED">
        <w:rPr>
          <w:rFonts w:ascii="Times New Roman" w:hAnsi="Times New Roman"/>
          <w:lang w:val="fr-FR"/>
        </w:rPr>
        <w:t xml:space="preserve">égulièrement </w:t>
      </w:r>
      <w:r w:rsidR="00657BA9" w:rsidRPr="006741ED">
        <w:rPr>
          <w:rFonts w:ascii="Times New Roman" w:hAnsi="Times New Roman"/>
          <w:lang w:val="fr-FR"/>
        </w:rPr>
        <w:t xml:space="preserve"> </w:t>
      </w:r>
      <w:r w:rsidR="006741ED">
        <w:rPr>
          <w:rFonts w:ascii="Times New Roman" w:hAnsi="Times New Roman"/>
          <w:lang w:val="fr-FR"/>
        </w:rPr>
        <w:t>« </w:t>
      </w:r>
      <w:r w:rsidR="003B611C" w:rsidRPr="006741ED">
        <w:rPr>
          <w:rFonts w:ascii="Times New Roman" w:hAnsi="Times New Roman"/>
          <w:lang w:val="fr-FR"/>
        </w:rPr>
        <w:t>qu’il existe des situations caractérisées par le fait que, même si elles sont régies par des réglementations relevant a priori de la compétence des États membres, à savoir les réglementations concernant le droit d’entrée et de séjour des ressortissants de pays tiers en dehors du champ d’application des dispositions du droit dérivé qui, sous certaines conditions, prévoient l’attribution d’un tel droit, elles ont toutefois un rapport intrinsèque avec la liberté de circulation d’un citoyen de l’Union qui s’oppose à ce que ledit droit d’entrée et de séjour soit refusé auxdits ressortissants dans l’État membre où réside ce citoyen, afin de ne pas porter atteinte à cette liberté</w:t>
      </w:r>
      <w:r w:rsidR="006741ED">
        <w:rPr>
          <w:rFonts w:ascii="Times New Roman" w:hAnsi="Times New Roman"/>
          <w:lang w:val="fr-FR"/>
        </w:rPr>
        <w:t> »</w:t>
      </w:r>
      <w:r w:rsidR="006741ED" w:rsidRPr="006741ED">
        <w:rPr>
          <w:rStyle w:val="FootnoteReference"/>
          <w:rFonts w:ascii="Times New Roman" w:hAnsi="Times New Roman"/>
          <w:lang w:val="fr-FR"/>
        </w:rPr>
        <w:footnoteReference w:id="4"/>
      </w:r>
      <w:r w:rsidR="006741ED">
        <w:rPr>
          <w:rFonts w:ascii="Times New Roman" w:hAnsi="Times New Roman"/>
          <w:lang w:val="fr-FR"/>
        </w:rPr>
        <w:t>.</w:t>
      </w:r>
      <w:r w:rsidR="003B611C" w:rsidRPr="006741ED">
        <w:rPr>
          <w:rFonts w:ascii="Times New Roman" w:hAnsi="Times New Roman"/>
          <w:lang w:val="fr-FR"/>
        </w:rPr>
        <w:t xml:space="preserve"> </w:t>
      </w:r>
    </w:p>
    <w:p w:rsidR="005E6343" w:rsidRPr="004E4ED4" w:rsidRDefault="00336529" w:rsidP="00ED3997">
      <w:pPr>
        <w:spacing w:before="120" w:line="360" w:lineRule="auto"/>
        <w:jc w:val="both"/>
        <w:rPr>
          <w:rFonts w:ascii="Times New Roman" w:hAnsi="Times New Roman"/>
          <w:lang w:val="fr-FR"/>
        </w:rPr>
      </w:pPr>
      <w:r w:rsidRPr="004E4ED4">
        <w:rPr>
          <w:rFonts w:ascii="Times New Roman" w:hAnsi="Times New Roman"/>
          <w:lang w:val="fr-FR"/>
        </w:rPr>
        <w:t>On verra que l</w:t>
      </w:r>
      <w:r w:rsidR="00D41372">
        <w:rPr>
          <w:rFonts w:ascii="Times New Roman" w:hAnsi="Times New Roman"/>
          <w:lang w:val="fr-FR"/>
        </w:rPr>
        <w:t>a marge d’appréciation reconnu au</w:t>
      </w:r>
      <w:r w:rsidR="000F274D" w:rsidRPr="004E4ED4">
        <w:rPr>
          <w:rFonts w:ascii="Times New Roman" w:hAnsi="Times New Roman"/>
          <w:lang w:val="fr-FR"/>
        </w:rPr>
        <w:t xml:space="preserve"> juge national varie non seulement en fonction de ces </w:t>
      </w:r>
      <w:r w:rsidR="005511F1" w:rsidRPr="004E4ED4">
        <w:rPr>
          <w:rFonts w:ascii="Times New Roman" w:hAnsi="Times New Roman"/>
          <w:lang w:val="fr-FR"/>
        </w:rPr>
        <w:t xml:space="preserve">deux </w:t>
      </w:r>
      <w:r w:rsidR="000F274D" w:rsidRPr="004E4ED4">
        <w:rPr>
          <w:rFonts w:ascii="Times New Roman" w:hAnsi="Times New Roman"/>
          <w:lang w:val="fr-FR"/>
        </w:rPr>
        <w:t xml:space="preserve">cas de figure mais aussi </w:t>
      </w:r>
      <w:r w:rsidR="006766F3">
        <w:rPr>
          <w:rFonts w:ascii="Times New Roman" w:hAnsi="Times New Roman"/>
          <w:lang w:val="fr-FR"/>
        </w:rPr>
        <w:t xml:space="preserve">en fonction de </w:t>
      </w:r>
      <w:r w:rsidRPr="004E4ED4">
        <w:rPr>
          <w:rFonts w:ascii="Times New Roman" w:hAnsi="Times New Roman"/>
          <w:lang w:val="fr-FR"/>
        </w:rPr>
        <w:t xml:space="preserve">la </w:t>
      </w:r>
      <w:r w:rsidR="00C31EAE" w:rsidRPr="004E4ED4">
        <w:rPr>
          <w:rFonts w:ascii="Times New Roman" w:hAnsi="Times New Roman"/>
          <w:lang w:val="fr-FR"/>
        </w:rPr>
        <w:t xml:space="preserve">portée </w:t>
      </w:r>
      <w:r w:rsidRPr="004E4ED4">
        <w:rPr>
          <w:rFonts w:ascii="Times New Roman" w:hAnsi="Times New Roman"/>
          <w:lang w:val="fr-FR"/>
        </w:rPr>
        <w:t>du droit en cause, de sa pertinence pour « le statut fondamental » du citoyen</w:t>
      </w:r>
      <w:r w:rsidR="005511F1" w:rsidRPr="004E4ED4">
        <w:rPr>
          <w:rFonts w:ascii="Times New Roman" w:hAnsi="Times New Roman"/>
          <w:lang w:val="fr-FR"/>
        </w:rPr>
        <w:t>,</w:t>
      </w:r>
      <w:r w:rsidRPr="004E4ED4">
        <w:rPr>
          <w:rFonts w:ascii="Times New Roman" w:hAnsi="Times New Roman"/>
          <w:lang w:val="fr-FR"/>
        </w:rPr>
        <w:t xml:space="preserve"> </w:t>
      </w:r>
      <w:r w:rsidR="006766F3">
        <w:rPr>
          <w:rFonts w:ascii="Times New Roman" w:hAnsi="Times New Roman"/>
          <w:lang w:val="fr-FR"/>
        </w:rPr>
        <w:t xml:space="preserve">de </w:t>
      </w:r>
      <w:r w:rsidR="000F274D" w:rsidRPr="004E4ED4">
        <w:rPr>
          <w:rFonts w:ascii="Times New Roman" w:hAnsi="Times New Roman"/>
          <w:lang w:val="fr-FR"/>
        </w:rPr>
        <w:t xml:space="preserve">la gravité de l’atteinte qui </w:t>
      </w:r>
      <w:r w:rsidR="007714E7" w:rsidRPr="004E4ED4">
        <w:rPr>
          <w:rFonts w:ascii="Times New Roman" w:hAnsi="Times New Roman"/>
          <w:lang w:val="fr-FR"/>
        </w:rPr>
        <w:t xml:space="preserve">y </w:t>
      </w:r>
      <w:r w:rsidR="000F274D" w:rsidRPr="004E4ED4">
        <w:rPr>
          <w:rFonts w:ascii="Times New Roman" w:hAnsi="Times New Roman"/>
          <w:lang w:val="fr-FR"/>
        </w:rPr>
        <w:t>e</w:t>
      </w:r>
      <w:r w:rsidR="007714E7" w:rsidRPr="004E4ED4">
        <w:rPr>
          <w:rFonts w:ascii="Times New Roman" w:hAnsi="Times New Roman"/>
          <w:lang w:val="fr-FR"/>
        </w:rPr>
        <w:t>st porté</w:t>
      </w:r>
      <w:r w:rsidR="005511F1" w:rsidRPr="004E4ED4">
        <w:rPr>
          <w:rFonts w:ascii="Times New Roman" w:hAnsi="Times New Roman"/>
          <w:lang w:val="fr-FR"/>
        </w:rPr>
        <w:t xml:space="preserve"> et la marge d’appréciation reconnue aux </w:t>
      </w:r>
      <w:r w:rsidR="006766F3">
        <w:rPr>
          <w:rFonts w:ascii="Times New Roman" w:hAnsi="Times New Roman"/>
          <w:lang w:val="fr-FR"/>
        </w:rPr>
        <w:t>autorités nationales ainsi que d</w:t>
      </w:r>
      <w:r w:rsidR="005511F1" w:rsidRPr="004E4ED4">
        <w:rPr>
          <w:rFonts w:ascii="Times New Roman" w:hAnsi="Times New Roman"/>
          <w:lang w:val="fr-FR"/>
        </w:rPr>
        <w:t>es intérêts légitimes invoqués par elles.</w:t>
      </w:r>
      <w:r w:rsidR="00D64072">
        <w:rPr>
          <w:rFonts w:ascii="Times New Roman" w:hAnsi="Times New Roman"/>
          <w:lang w:val="fr-FR"/>
        </w:rPr>
        <w:t xml:space="preserve"> </w:t>
      </w:r>
      <w:r w:rsidR="00685651" w:rsidRPr="004E4ED4">
        <w:rPr>
          <w:rFonts w:ascii="Times New Roman" w:hAnsi="Times New Roman"/>
          <w:lang w:val="fr-FR"/>
        </w:rPr>
        <w:t xml:space="preserve">Il </w:t>
      </w:r>
      <w:r w:rsidR="00D64072">
        <w:rPr>
          <w:rFonts w:ascii="Times New Roman" w:hAnsi="Times New Roman"/>
          <w:lang w:val="fr-FR"/>
        </w:rPr>
        <w:t xml:space="preserve">convient </w:t>
      </w:r>
      <w:r w:rsidR="00685651" w:rsidRPr="004E4ED4">
        <w:rPr>
          <w:rFonts w:ascii="Times New Roman" w:hAnsi="Times New Roman"/>
          <w:lang w:val="fr-FR"/>
        </w:rPr>
        <w:t>donc de faire un effort de systématisation pour présenter cette matière, largement dominé par une logique casuistique.</w:t>
      </w:r>
      <w:r w:rsidR="00DE5AD7">
        <w:rPr>
          <w:rFonts w:ascii="Times New Roman" w:hAnsi="Times New Roman"/>
          <w:lang w:val="fr-FR"/>
        </w:rPr>
        <w:t xml:space="preserve"> On cherchera </w:t>
      </w:r>
      <w:r w:rsidR="00127485">
        <w:rPr>
          <w:rFonts w:ascii="Times New Roman" w:hAnsi="Times New Roman"/>
          <w:lang w:val="fr-FR"/>
        </w:rPr>
        <w:t xml:space="preserve">donc successivement </w:t>
      </w:r>
      <w:r w:rsidR="00DE5AD7">
        <w:rPr>
          <w:rFonts w:ascii="Times New Roman" w:hAnsi="Times New Roman"/>
          <w:lang w:val="fr-FR"/>
        </w:rPr>
        <w:t xml:space="preserve">à </w:t>
      </w:r>
      <w:r w:rsidR="00127485">
        <w:rPr>
          <w:rFonts w:ascii="Times New Roman" w:hAnsi="Times New Roman"/>
          <w:lang w:val="fr-FR"/>
        </w:rPr>
        <w:t>explorer de quelle marge de manœuvre le juge national peut bénéf</w:t>
      </w:r>
      <w:r w:rsidR="00ED3997">
        <w:rPr>
          <w:rFonts w:ascii="Times New Roman" w:hAnsi="Times New Roman"/>
          <w:lang w:val="fr-FR"/>
        </w:rPr>
        <w:t xml:space="preserve">icier lorsqu’il doit statuer soit </w:t>
      </w:r>
      <w:r w:rsidR="00127485">
        <w:rPr>
          <w:rFonts w:ascii="Times New Roman" w:hAnsi="Times New Roman"/>
          <w:lang w:val="fr-FR"/>
        </w:rPr>
        <w:t>en matière de circulation et de droi</w:t>
      </w:r>
      <w:r w:rsidR="00ED3997">
        <w:rPr>
          <w:rFonts w:ascii="Times New Roman" w:hAnsi="Times New Roman"/>
          <w:lang w:val="fr-FR"/>
        </w:rPr>
        <w:t>ts du citoyen lui-même (I.)</w:t>
      </w:r>
      <w:r w:rsidR="00120704">
        <w:rPr>
          <w:rFonts w:ascii="Times New Roman" w:hAnsi="Times New Roman"/>
          <w:lang w:val="fr-FR"/>
        </w:rPr>
        <w:t xml:space="preserve"> </w:t>
      </w:r>
      <w:r w:rsidR="00ED3997">
        <w:rPr>
          <w:rFonts w:ascii="Times New Roman" w:hAnsi="Times New Roman"/>
          <w:lang w:val="fr-FR"/>
        </w:rPr>
        <w:t xml:space="preserve"> soit en matière d</w:t>
      </w:r>
      <w:r w:rsidR="00C1509D" w:rsidRPr="004E4ED4">
        <w:rPr>
          <w:rFonts w:ascii="Times New Roman" w:hAnsi="Times New Roman"/>
          <w:lang w:val="fr-FR"/>
        </w:rPr>
        <w:t>es droits des membres de sa famille</w:t>
      </w:r>
      <w:r w:rsidR="00ED3997">
        <w:rPr>
          <w:rFonts w:ascii="Times New Roman" w:hAnsi="Times New Roman"/>
          <w:lang w:val="fr-FR"/>
        </w:rPr>
        <w:t xml:space="preserve"> (II.).</w:t>
      </w:r>
    </w:p>
    <w:p w:rsidR="005E6343" w:rsidRPr="004E4ED4" w:rsidRDefault="005E6343" w:rsidP="008E069E">
      <w:pPr>
        <w:spacing w:before="120" w:line="360" w:lineRule="auto"/>
        <w:ind w:firstLine="720"/>
        <w:rPr>
          <w:rFonts w:ascii="Times New Roman" w:hAnsi="Times New Roman"/>
          <w:lang w:val="fr-FR"/>
        </w:rPr>
      </w:pPr>
    </w:p>
    <w:p w:rsidR="00255CDD" w:rsidRPr="004E4ED4" w:rsidRDefault="008426EE" w:rsidP="008E069E">
      <w:pPr>
        <w:pStyle w:val="Heading1"/>
        <w:spacing w:before="120" w:line="360" w:lineRule="auto"/>
        <w:rPr>
          <w:rFonts w:ascii="Times New Roman" w:hAnsi="Times New Roman"/>
          <w:color w:val="auto"/>
          <w:sz w:val="24"/>
          <w:lang w:val="fr-FR"/>
        </w:rPr>
      </w:pPr>
      <w:r>
        <w:rPr>
          <w:rFonts w:ascii="Times New Roman" w:hAnsi="Times New Roman"/>
          <w:color w:val="auto"/>
          <w:sz w:val="24"/>
          <w:lang w:val="fr-FR"/>
        </w:rPr>
        <w:t>I. Circulation et</w:t>
      </w:r>
      <w:r w:rsidR="004F48DC" w:rsidRPr="004E4ED4">
        <w:rPr>
          <w:rFonts w:ascii="Times New Roman" w:hAnsi="Times New Roman"/>
          <w:color w:val="auto"/>
          <w:sz w:val="24"/>
          <w:lang w:val="fr-FR"/>
        </w:rPr>
        <w:t xml:space="preserve"> </w:t>
      </w:r>
      <w:r w:rsidR="002D4818" w:rsidRPr="004E4ED4">
        <w:rPr>
          <w:rFonts w:ascii="Times New Roman" w:hAnsi="Times New Roman"/>
          <w:color w:val="auto"/>
          <w:sz w:val="24"/>
          <w:lang w:val="fr-FR"/>
        </w:rPr>
        <w:t>séjour des c</w:t>
      </w:r>
      <w:r w:rsidR="004D6C08" w:rsidRPr="004E4ED4">
        <w:rPr>
          <w:rFonts w:ascii="Times New Roman" w:hAnsi="Times New Roman"/>
          <w:color w:val="auto"/>
          <w:sz w:val="24"/>
          <w:lang w:val="fr-FR"/>
        </w:rPr>
        <w:t>itoyen</w:t>
      </w:r>
      <w:r w:rsidR="002D4818" w:rsidRPr="004E4ED4">
        <w:rPr>
          <w:rFonts w:ascii="Times New Roman" w:hAnsi="Times New Roman"/>
          <w:color w:val="auto"/>
          <w:sz w:val="24"/>
          <w:lang w:val="fr-FR"/>
        </w:rPr>
        <w:t>s</w:t>
      </w:r>
      <w:r w:rsidR="004D6C08" w:rsidRPr="004E4ED4">
        <w:rPr>
          <w:rFonts w:ascii="Times New Roman" w:hAnsi="Times New Roman"/>
          <w:color w:val="auto"/>
          <w:sz w:val="24"/>
          <w:lang w:val="fr-FR"/>
        </w:rPr>
        <w:t xml:space="preserve"> de l’Union</w:t>
      </w:r>
      <w:r w:rsidR="00273DD9" w:rsidRPr="004E4ED4">
        <w:rPr>
          <w:rFonts w:ascii="Times New Roman" w:hAnsi="Times New Roman"/>
          <w:color w:val="auto"/>
          <w:sz w:val="24"/>
          <w:lang w:val="fr-FR"/>
        </w:rPr>
        <w:t xml:space="preserve"> </w:t>
      </w:r>
    </w:p>
    <w:p w:rsidR="008E4FD0" w:rsidRPr="004E4ED4" w:rsidRDefault="008E4FD0" w:rsidP="008E069E">
      <w:pPr>
        <w:spacing w:before="120" w:line="360" w:lineRule="auto"/>
        <w:rPr>
          <w:rFonts w:ascii="Times New Roman" w:hAnsi="Times New Roman"/>
          <w:lang w:val="fr-FR"/>
        </w:rPr>
      </w:pPr>
    </w:p>
    <w:p w:rsidR="00E7792C" w:rsidRPr="004E4ED4" w:rsidRDefault="00685651" w:rsidP="008E069E">
      <w:pPr>
        <w:spacing w:before="120" w:line="360" w:lineRule="auto"/>
        <w:rPr>
          <w:rFonts w:ascii="Times New Roman" w:hAnsi="Times New Roman"/>
          <w:lang w:val="fr-FR"/>
        </w:rPr>
      </w:pPr>
      <w:r w:rsidRPr="004E4ED4">
        <w:rPr>
          <w:rFonts w:ascii="Times New Roman" w:hAnsi="Times New Roman"/>
          <w:lang w:val="fr-FR"/>
        </w:rPr>
        <w:t xml:space="preserve">Les citoyens de l’Union </w:t>
      </w:r>
      <w:r w:rsidR="008426EE">
        <w:rPr>
          <w:rFonts w:ascii="Times New Roman" w:hAnsi="Times New Roman"/>
          <w:lang w:val="fr-FR"/>
        </w:rPr>
        <w:t>s</w:t>
      </w:r>
      <w:r w:rsidR="008E4FD0" w:rsidRPr="004E4ED4">
        <w:rPr>
          <w:rFonts w:ascii="Times New Roman" w:hAnsi="Times New Roman"/>
          <w:lang w:val="fr-FR"/>
        </w:rPr>
        <w:t xml:space="preserve">ont titulaires </w:t>
      </w:r>
      <w:r w:rsidR="00E7792C" w:rsidRPr="004E4ED4">
        <w:rPr>
          <w:rFonts w:ascii="Times New Roman" w:hAnsi="Times New Roman"/>
          <w:lang w:val="fr-FR"/>
        </w:rPr>
        <w:t>d</w:t>
      </w:r>
      <w:r w:rsidR="008E4FD0" w:rsidRPr="004E4ED4">
        <w:rPr>
          <w:rFonts w:ascii="Times New Roman" w:hAnsi="Times New Roman"/>
          <w:lang w:val="fr-FR"/>
        </w:rPr>
        <w:t>e droits découlant d’un statut fondamental </w:t>
      </w:r>
      <w:r w:rsidR="00E7792C" w:rsidRPr="004E4ED4">
        <w:rPr>
          <w:rFonts w:ascii="Times New Roman" w:hAnsi="Times New Roman"/>
          <w:lang w:val="fr-FR"/>
        </w:rPr>
        <w:t>directement invocable devant le juge national</w:t>
      </w:r>
      <w:r w:rsidR="00B372FB" w:rsidRPr="004E4ED4">
        <w:rPr>
          <w:rFonts w:ascii="Times New Roman" w:hAnsi="Times New Roman"/>
          <w:lang w:val="fr-FR"/>
        </w:rPr>
        <w:t xml:space="preserve">, alors même que ces droits ne sont pas inconditionnels </w:t>
      </w:r>
      <w:r w:rsidR="008E4FD0" w:rsidRPr="004E4ED4">
        <w:rPr>
          <w:rFonts w:ascii="Times New Roman" w:hAnsi="Times New Roman"/>
          <w:lang w:val="fr-FR"/>
        </w:rPr>
        <w:t>!</w:t>
      </w:r>
    </w:p>
    <w:p w:rsidR="00E7792C" w:rsidRPr="004E4ED4" w:rsidRDefault="00E7792C" w:rsidP="008E069E">
      <w:pPr>
        <w:spacing w:before="120" w:line="360" w:lineRule="auto"/>
        <w:rPr>
          <w:rFonts w:ascii="Times New Roman" w:hAnsi="Times New Roman"/>
          <w:lang w:val="fr-FR"/>
        </w:rPr>
      </w:pPr>
    </w:p>
    <w:p w:rsidR="00DD3CE8" w:rsidRPr="004E4ED4" w:rsidRDefault="00E7792C" w:rsidP="008E069E">
      <w:pPr>
        <w:spacing w:before="120" w:line="360" w:lineRule="auto"/>
        <w:rPr>
          <w:rFonts w:ascii="Times New Roman" w:hAnsi="Times New Roman"/>
          <w:lang w:val="fr-FR"/>
        </w:rPr>
      </w:pPr>
      <w:r w:rsidRPr="004E4ED4">
        <w:rPr>
          <w:rFonts w:ascii="Times New Roman" w:hAnsi="Times New Roman"/>
          <w:lang w:val="fr-FR"/>
        </w:rPr>
        <w:t xml:space="preserve">En dépit de la consécration de ce statut fondamental (A), </w:t>
      </w:r>
      <w:r w:rsidR="00685651" w:rsidRPr="004E4ED4">
        <w:rPr>
          <w:rFonts w:ascii="Times New Roman" w:hAnsi="Times New Roman"/>
          <w:lang w:val="fr-FR"/>
        </w:rPr>
        <w:t xml:space="preserve">qui relève de l’intérêt de l’Union </w:t>
      </w:r>
    </w:p>
    <w:p w:rsidR="001875ED" w:rsidRPr="004E4ED4" w:rsidRDefault="00E7792C" w:rsidP="008E069E">
      <w:pPr>
        <w:spacing w:before="120" w:line="360" w:lineRule="auto"/>
        <w:rPr>
          <w:rFonts w:ascii="Times New Roman" w:hAnsi="Times New Roman"/>
          <w:lang w:val="fr-FR"/>
        </w:rPr>
      </w:pPr>
      <w:proofErr w:type="gramStart"/>
      <w:r w:rsidRPr="004E4ED4">
        <w:rPr>
          <w:rFonts w:ascii="Times New Roman" w:hAnsi="Times New Roman"/>
          <w:lang w:val="fr-FR"/>
        </w:rPr>
        <w:t>les</w:t>
      </w:r>
      <w:proofErr w:type="gramEnd"/>
      <w:r w:rsidRPr="004E4ED4">
        <w:rPr>
          <w:rFonts w:ascii="Times New Roman" w:hAnsi="Times New Roman"/>
          <w:lang w:val="fr-FR"/>
        </w:rPr>
        <w:t xml:space="preserve"> Etats membres conservent une marge d’appréciation résiduelle que le juge de l’Union et donc le juge national doit </w:t>
      </w:r>
      <w:r w:rsidR="001875ED" w:rsidRPr="004E4ED4">
        <w:rPr>
          <w:rFonts w:ascii="Times New Roman" w:hAnsi="Times New Roman"/>
          <w:lang w:val="fr-FR"/>
        </w:rPr>
        <w:t>ménager</w:t>
      </w:r>
      <w:r w:rsidR="00DD3CE8" w:rsidRPr="004E4ED4">
        <w:rPr>
          <w:rFonts w:ascii="Times New Roman" w:hAnsi="Times New Roman"/>
          <w:lang w:val="fr-FR"/>
        </w:rPr>
        <w:t xml:space="preserve"> (B)</w:t>
      </w:r>
      <w:r w:rsidR="001875ED" w:rsidRPr="004E4ED4">
        <w:rPr>
          <w:rFonts w:ascii="Times New Roman" w:hAnsi="Times New Roman"/>
          <w:lang w:val="fr-FR"/>
        </w:rPr>
        <w:t>.</w:t>
      </w:r>
    </w:p>
    <w:p w:rsidR="00464F7E" w:rsidRPr="004E4ED4" w:rsidRDefault="00464F7E" w:rsidP="008E069E">
      <w:pPr>
        <w:spacing w:before="120" w:line="360" w:lineRule="auto"/>
        <w:rPr>
          <w:rFonts w:ascii="Times New Roman" w:hAnsi="Times New Roman"/>
          <w:lang w:val="fr-FR"/>
        </w:rPr>
      </w:pPr>
    </w:p>
    <w:p w:rsidR="00464F7E" w:rsidRPr="004E4ED4" w:rsidRDefault="00015BE1" w:rsidP="008E069E">
      <w:pPr>
        <w:pStyle w:val="Heading2"/>
        <w:spacing w:before="120" w:line="360" w:lineRule="auto"/>
        <w:rPr>
          <w:rFonts w:ascii="Times New Roman" w:hAnsi="Times New Roman"/>
          <w:color w:val="auto"/>
          <w:sz w:val="24"/>
          <w:lang w:val="fr-FR"/>
        </w:rPr>
      </w:pPr>
      <w:r w:rsidRPr="004E4ED4">
        <w:rPr>
          <w:rFonts w:ascii="Times New Roman" w:hAnsi="Times New Roman"/>
          <w:color w:val="auto"/>
          <w:sz w:val="24"/>
          <w:lang w:val="fr-FR"/>
        </w:rPr>
        <w:t xml:space="preserve">A. </w:t>
      </w:r>
      <w:r w:rsidR="00464F7E" w:rsidRPr="004E4ED4">
        <w:rPr>
          <w:rFonts w:ascii="Times New Roman" w:hAnsi="Times New Roman"/>
          <w:color w:val="auto"/>
          <w:sz w:val="24"/>
          <w:lang w:val="fr-FR"/>
        </w:rPr>
        <w:t>La consécration d’un statut fondamental</w:t>
      </w:r>
      <w:r w:rsidR="007530BA" w:rsidRPr="004E4ED4">
        <w:rPr>
          <w:rFonts w:ascii="Times New Roman" w:hAnsi="Times New Roman"/>
          <w:color w:val="auto"/>
          <w:sz w:val="24"/>
          <w:lang w:val="fr-FR"/>
        </w:rPr>
        <w:t xml:space="preserve"> </w:t>
      </w:r>
      <w:r w:rsidRPr="004E4ED4">
        <w:rPr>
          <w:rFonts w:ascii="Times New Roman" w:hAnsi="Times New Roman"/>
          <w:color w:val="auto"/>
          <w:sz w:val="24"/>
          <w:lang w:val="fr-FR"/>
        </w:rPr>
        <w:t>opposable aux Etats membres</w:t>
      </w:r>
    </w:p>
    <w:p w:rsidR="00F1457C" w:rsidRPr="004E4ED4" w:rsidRDefault="00F1457C" w:rsidP="008E069E">
      <w:pPr>
        <w:spacing w:before="120" w:line="360" w:lineRule="auto"/>
        <w:rPr>
          <w:rFonts w:ascii="Times New Roman" w:hAnsi="Times New Roman"/>
          <w:lang w:val="fr-FR"/>
        </w:rPr>
      </w:pPr>
    </w:p>
    <w:p w:rsidR="00E5501A" w:rsidRPr="004E4ED4" w:rsidRDefault="00F1457C" w:rsidP="008E069E">
      <w:pPr>
        <w:spacing w:before="120" w:line="360" w:lineRule="auto"/>
        <w:ind w:left="720"/>
        <w:jc w:val="both"/>
        <w:rPr>
          <w:rFonts w:ascii="Times New Roman" w:hAnsi="Times New Roman"/>
          <w:lang w:val="fr-FR"/>
        </w:rPr>
      </w:pPr>
      <w:r w:rsidRPr="004E4ED4">
        <w:rPr>
          <w:rFonts w:ascii="Times New Roman" w:hAnsi="Times New Roman"/>
          <w:lang w:val="fr-FR"/>
        </w:rPr>
        <w:t>« L</w:t>
      </w:r>
      <w:r w:rsidR="00E5501A" w:rsidRPr="004E4ED4">
        <w:rPr>
          <w:rFonts w:ascii="Times New Roman" w:hAnsi="Times New Roman"/>
          <w:lang w:val="fr-FR"/>
        </w:rPr>
        <w:t xml:space="preserve">e statut de </w:t>
      </w:r>
      <w:bookmarkStart w:id="1" w:name="ctx2"/>
      <w:r w:rsidR="00E5501A" w:rsidRPr="004E4ED4">
        <w:rPr>
          <w:rFonts w:ascii="Times New Roman" w:hAnsi="Times New Roman"/>
          <w:lang w:val="fr-FR"/>
        </w:rPr>
        <w:t>citoyen de l’Union</w:t>
      </w:r>
      <w:bookmarkEnd w:id="1"/>
      <w:r w:rsidR="00E5501A" w:rsidRPr="004E4ED4">
        <w:rPr>
          <w:rFonts w:ascii="Times New Roman" w:hAnsi="Times New Roman"/>
          <w:lang w:val="fr-FR"/>
        </w:rPr>
        <w:t xml:space="preserve"> a vocation à être le statut fondamental des ressortissants des États membres permettant à ceux qui, parmi ces derniers, se trouvent dans la même situation d’obtenir, dans le domaine d’application </w:t>
      </w:r>
      <w:proofErr w:type="spellStart"/>
      <w:r w:rsidR="00E5501A" w:rsidRPr="004E4ED4">
        <w:rPr>
          <w:rFonts w:ascii="Times New Roman" w:hAnsi="Times New Roman"/>
          <w:i/>
          <w:lang w:val="fr-FR"/>
        </w:rPr>
        <w:t>ratione</w:t>
      </w:r>
      <w:proofErr w:type="spellEnd"/>
      <w:r w:rsidR="00E5501A" w:rsidRPr="004E4ED4">
        <w:rPr>
          <w:rFonts w:ascii="Times New Roman" w:hAnsi="Times New Roman"/>
          <w:i/>
          <w:lang w:val="fr-FR"/>
        </w:rPr>
        <w:t xml:space="preserve"> materiae</w:t>
      </w:r>
      <w:r w:rsidR="00E5501A" w:rsidRPr="004E4ED4">
        <w:rPr>
          <w:rFonts w:ascii="Times New Roman" w:hAnsi="Times New Roman"/>
          <w:lang w:val="fr-FR"/>
        </w:rPr>
        <w:t xml:space="preserve"> du traité FUE, indépendamment de leur nationalité et sans préjudice des exceptions expressément prévues à cet égar</w:t>
      </w:r>
      <w:r w:rsidRPr="004E4ED4">
        <w:rPr>
          <w:rFonts w:ascii="Times New Roman" w:hAnsi="Times New Roman"/>
          <w:lang w:val="fr-FR"/>
        </w:rPr>
        <w:t>d, le même traitement juridique. »</w:t>
      </w:r>
      <w:r w:rsidR="00B372FB" w:rsidRPr="004E4ED4">
        <w:rPr>
          <w:rFonts w:ascii="Times New Roman" w:hAnsi="Times New Roman"/>
          <w:lang w:val="fr-FR"/>
        </w:rPr>
        <w:t xml:space="preserve"> (CJUE, 20 septembre 2001, </w:t>
      </w:r>
      <w:proofErr w:type="spellStart"/>
      <w:r w:rsidR="00B372FB" w:rsidRPr="004E4ED4">
        <w:rPr>
          <w:rFonts w:ascii="Times New Roman" w:hAnsi="Times New Roman"/>
          <w:b/>
          <w:lang w:val="fr-FR"/>
        </w:rPr>
        <w:t>Grzelczyk</w:t>
      </w:r>
      <w:proofErr w:type="spellEnd"/>
      <w:r w:rsidR="00B372FB" w:rsidRPr="004E4ED4">
        <w:rPr>
          <w:rFonts w:ascii="Times New Roman" w:hAnsi="Times New Roman"/>
          <w:lang w:val="fr-FR"/>
        </w:rPr>
        <w:t xml:space="preserve">, </w:t>
      </w:r>
      <w:proofErr w:type="spellStart"/>
      <w:r w:rsidR="00B372FB" w:rsidRPr="004E4ED4">
        <w:rPr>
          <w:rFonts w:ascii="Times New Roman" w:hAnsi="Times New Roman"/>
          <w:lang w:val="fr-FR"/>
        </w:rPr>
        <w:t>aff</w:t>
      </w:r>
      <w:proofErr w:type="spellEnd"/>
      <w:r w:rsidR="00B372FB" w:rsidRPr="004E4ED4">
        <w:rPr>
          <w:rFonts w:ascii="Times New Roman" w:hAnsi="Times New Roman"/>
          <w:lang w:val="fr-FR"/>
        </w:rPr>
        <w:t>. C-184/99,</w:t>
      </w:r>
      <w:r w:rsidR="00873D12" w:rsidRPr="004E4ED4">
        <w:rPr>
          <w:rFonts w:ascii="Times New Roman" w:hAnsi="Times New Roman"/>
          <w:lang w:val="fr-FR"/>
        </w:rPr>
        <w:t xml:space="preserve"> Rec. </w:t>
      </w:r>
      <w:r w:rsidR="00873D12" w:rsidRPr="004E4ED4">
        <w:rPr>
          <w:rFonts w:ascii="Times New Roman" w:hAnsi="Times New Roman"/>
          <w:lang w:val="fr-LU"/>
        </w:rPr>
        <w:t>2001 I-6193,</w:t>
      </w:r>
      <w:r w:rsidR="00B372FB" w:rsidRPr="004E4ED4">
        <w:rPr>
          <w:rFonts w:ascii="Times New Roman" w:hAnsi="Times New Roman"/>
          <w:lang w:val="fr-FR"/>
        </w:rPr>
        <w:t xml:space="preserve"> point 31)</w:t>
      </w:r>
    </w:p>
    <w:p w:rsidR="00D5792C" w:rsidRPr="004E4ED4" w:rsidRDefault="00D5792C" w:rsidP="008E069E">
      <w:pPr>
        <w:spacing w:before="120" w:line="360" w:lineRule="auto"/>
        <w:rPr>
          <w:rFonts w:ascii="Times New Roman" w:hAnsi="Times New Roman"/>
          <w:lang w:val="fr-FR"/>
        </w:rPr>
      </w:pPr>
    </w:p>
    <w:p w:rsidR="00297168" w:rsidRPr="004E4ED4" w:rsidRDefault="00A06B7D" w:rsidP="008E069E">
      <w:pPr>
        <w:spacing w:before="120" w:line="360" w:lineRule="auto"/>
        <w:rPr>
          <w:rFonts w:ascii="Times New Roman" w:hAnsi="Times New Roman"/>
          <w:lang w:val="fr-FR"/>
        </w:rPr>
      </w:pPr>
      <w:r w:rsidRPr="004E4ED4">
        <w:rPr>
          <w:rFonts w:ascii="Times New Roman" w:hAnsi="Times New Roman"/>
          <w:lang w:val="fr-FR"/>
        </w:rPr>
        <w:t xml:space="preserve">Il appartient aux juges nationaux de conférer plein effet à ce statut et aux droits qui en découlent. Ils sont cependant aussi </w:t>
      </w:r>
      <w:r w:rsidR="00297168" w:rsidRPr="004E4ED4">
        <w:rPr>
          <w:rFonts w:ascii="Times New Roman" w:hAnsi="Times New Roman"/>
          <w:lang w:val="fr-FR"/>
        </w:rPr>
        <w:t>compétents</w:t>
      </w:r>
      <w:r w:rsidRPr="004E4ED4">
        <w:rPr>
          <w:rFonts w:ascii="Times New Roman" w:hAnsi="Times New Roman"/>
          <w:lang w:val="fr-FR"/>
        </w:rPr>
        <w:t xml:space="preserve"> pour apprécier si les critères d’accès à ce statut sont remplis.</w:t>
      </w:r>
    </w:p>
    <w:p w:rsidR="00297168" w:rsidRPr="004E4ED4" w:rsidRDefault="00297168" w:rsidP="008E069E">
      <w:pPr>
        <w:spacing w:before="120" w:line="360" w:lineRule="auto"/>
        <w:rPr>
          <w:rFonts w:ascii="Times New Roman" w:hAnsi="Times New Roman"/>
          <w:lang w:val="fr-FR"/>
        </w:rPr>
      </w:pPr>
    </w:p>
    <w:p w:rsidR="00464F7E" w:rsidRPr="004E4ED4" w:rsidRDefault="00685651" w:rsidP="008E069E">
      <w:pPr>
        <w:spacing w:before="120" w:line="360" w:lineRule="auto"/>
        <w:rPr>
          <w:rFonts w:ascii="Times New Roman" w:hAnsi="Times New Roman"/>
          <w:lang w:val="fr-FR"/>
        </w:rPr>
      </w:pPr>
      <w:r w:rsidRPr="004E4ED4">
        <w:rPr>
          <w:rFonts w:ascii="Times New Roman" w:hAnsi="Times New Roman"/>
          <w:lang w:val="fr-FR"/>
        </w:rPr>
        <w:t xml:space="preserve">Ces droits et </w:t>
      </w:r>
      <w:r w:rsidR="00525837" w:rsidRPr="004E4ED4">
        <w:rPr>
          <w:rFonts w:ascii="Times New Roman" w:hAnsi="Times New Roman"/>
          <w:lang w:val="fr-FR"/>
        </w:rPr>
        <w:t xml:space="preserve">critères résultent du traité et de la directive et la Cour de justice </w:t>
      </w:r>
    </w:p>
    <w:p w:rsidR="007530BA" w:rsidRPr="004E4ED4" w:rsidRDefault="00CA155E" w:rsidP="008E069E">
      <w:pPr>
        <w:pStyle w:val="Heading3"/>
        <w:spacing w:before="120" w:line="360" w:lineRule="auto"/>
        <w:ind w:firstLine="720"/>
        <w:rPr>
          <w:rFonts w:ascii="Times New Roman" w:hAnsi="Times New Roman"/>
          <w:color w:val="auto"/>
          <w:lang w:val="fr-FR"/>
        </w:rPr>
      </w:pPr>
      <w:r w:rsidRPr="004E4ED4">
        <w:rPr>
          <w:rFonts w:ascii="Times New Roman" w:hAnsi="Times New Roman"/>
          <w:color w:val="auto"/>
          <w:lang w:val="fr-FR"/>
        </w:rPr>
        <w:t xml:space="preserve">1. </w:t>
      </w:r>
      <w:r w:rsidR="00464F7E" w:rsidRPr="004E4ED4">
        <w:rPr>
          <w:rFonts w:ascii="Times New Roman" w:hAnsi="Times New Roman"/>
          <w:color w:val="auto"/>
          <w:lang w:val="fr-FR"/>
        </w:rPr>
        <w:t>L’accès au statut</w:t>
      </w:r>
      <w:r w:rsidR="007530BA" w:rsidRPr="004E4ED4">
        <w:rPr>
          <w:rFonts w:ascii="Times New Roman" w:hAnsi="Times New Roman"/>
          <w:color w:val="auto"/>
          <w:lang w:val="fr-FR"/>
        </w:rPr>
        <w:t xml:space="preserve"> (</w:t>
      </w:r>
      <w:r w:rsidR="001C6516" w:rsidRPr="004E4ED4">
        <w:rPr>
          <w:rFonts w:ascii="Times New Roman" w:hAnsi="Times New Roman"/>
          <w:color w:val="auto"/>
          <w:lang w:val="fr-FR"/>
        </w:rPr>
        <w:t>soumis à un</w:t>
      </w:r>
      <w:r w:rsidRPr="004E4ED4">
        <w:rPr>
          <w:rFonts w:ascii="Times New Roman" w:hAnsi="Times New Roman"/>
          <w:color w:val="auto"/>
          <w:lang w:val="fr-FR"/>
        </w:rPr>
        <w:t xml:space="preserve"> </w:t>
      </w:r>
      <w:r w:rsidR="007530BA" w:rsidRPr="004E4ED4">
        <w:rPr>
          <w:rFonts w:ascii="Times New Roman" w:hAnsi="Times New Roman"/>
          <w:color w:val="auto"/>
          <w:lang w:val="fr-FR"/>
        </w:rPr>
        <w:t>double critère)</w:t>
      </w:r>
    </w:p>
    <w:p w:rsidR="007530BA" w:rsidRPr="004E4ED4" w:rsidRDefault="00745FDB" w:rsidP="008E069E">
      <w:pPr>
        <w:pStyle w:val="Heading4"/>
        <w:spacing w:before="120" w:line="360" w:lineRule="auto"/>
        <w:ind w:left="720" w:firstLine="720"/>
        <w:rPr>
          <w:rFonts w:ascii="Times New Roman" w:hAnsi="Times New Roman"/>
          <w:color w:val="auto"/>
          <w:lang w:val="fr-FR"/>
        </w:rPr>
      </w:pPr>
      <w:r w:rsidRPr="004E4ED4">
        <w:rPr>
          <w:rFonts w:ascii="Times New Roman" w:hAnsi="Times New Roman"/>
          <w:color w:val="auto"/>
          <w:lang w:val="fr-FR"/>
        </w:rPr>
        <w:t>L</w:t>
      </w:r>
      <w:r w:rsidR="007530BA" w:rsidRPr="004E4ED4">
        <w:rPr>
          <w:rFonts w:ascii="Times New Roman" w:hAnsi="Times New Roman"/>
          <w:color w:val="auto"/>
          <w:lang w:val="fr-FR"/>
        </w:rPr>
        <w:t>a nationalité</w:t>
      </w:r>
      <w:r w:rsidRPr="004E4ED4">
        <w:rPr>
          <w:rFonts w:ascii="Times New Roman" w:hAnsi="Times New Roman"/>
          <w:color w:val="auto"/>
          <w:lang w:val="fr-FR"/>
        </w:rPr>
        <w:t xml:space="preserve"> (attribution et perte)</w:t>
      </w:r>
    </w:p>
    <w:p w:rsidR="00F1457C" w:rsidRPr="004E4ED4" w:rsidRDefault="00525837" w:rsidP="008E069E">
      <w:pPr>
        <w:spacing w:before="120" w:line="360" w:lineRule="auto"/>
        <w:rPr>
          <w:rFonts w:ascii="Times New Roman" w:hAnsi="Times New Roman"/>
          <w:lang w:val="fr-FR"/>
        </w:rPr>
      </w:pPr>
      <w:r w:rsidRPr="004E4ED4">
        <w:rPr>
          <w:rFonts w:ascii="Times New Roman" w:hAnsi="Times New Roman"/>
          <w:lang w:val="fr-FR"/>
        </w:rPr>
        <w:t xml:space="preserve">En principe la compétence appartient aux EM (codes de la nationalité, citer texte </w:t>
      </w:r>
      <w:proofErr w:type="spellStart"/>
      <w:r w:rsidRPr="004E4ED4">
        <w:rPr>
          <w:rFonts w:ascii="Times New Roman" w:hAnsi="Times New Roman"/>
          <w:lang w:val="fr-FR"/>
        </w:rPr>
        <w:t>luxo</w:t>
      </w:r>
      <w:proofErr w:type="spellEnd"/>
      <w:r w:rsidRPr="004E4ED4">
        <w:rPr>
          <w:rFonts w:ascii="Times New Roman" w:hAnsi="Times New Roman"/>
          <w:lang w:val="fr-FR"/>
        </w:rPr>
        <w:t>)</w:t>
      </w:r>
    </w:p>
    <w:p w:rsidR="00F1457C" w:rsidRPr="004E4ED4" w:rsidRDefault="00F1457C" w:rsidP="008E069E">
      <w:pPr>
        <w:spacing w:before="120" w:line="360" w:lineRule="auto"/>
        <w:ind w:left="720" w:firstLine="720"/>
        <w:rPr>
          <w:rFonts w:ascii="Times New Roman" w:hAnsi="Times New Roman"/>
          <w:lang w:val="fr-FR"/>
        </w:rPr>
      </w:pPr>
      <w:r w:rsidRPr="004E4ED4">
        <w:rPr>
          <w:rFonts w:ascii="Times New Roman" w:hAnsi="Times New Roman"/>
          <w:lang w:val="fr-FR"/>
        </w:rPr>
        <w:t xml:space="preserve">CJUE, 19 octobre 2004, </w:t>
      </w:r>
      <w:r w:rsidRPr="004E4ED4">
        <w:rPr>
          <w:rFonts w:ascii="Times New Roman" w:hAnsi="Times New Roman"/>
          <w:b/>
          <w:lang w:val="fr-FR"/>
        </w:rPr>
        <w:t>Zhu et Chen</w:t>
      </w:r>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xml:space="preserve">. </w:t>
      </w:r>
      <w:r w:rsidR="0058330F" w:rsidRPr="004E4ED4">
        <w:rPr>
          <w:rFonts w:ascii="Times New Roman" w:hAnsi="Times New Roman"/>
          <w:lang w:val="fr-FR"/>
        </w:rPr>
        <w:t>C-200/02</w:t>
      </w:r>
      <w:r w:rsidR="00873D12" w:rsidRPr="004E4ED4">
        <w:rPr>
          <w:rFonts w:ascii="Times New Roman" w:hAnsi="Times New Roman"/>
          <w:lang w:val="fr-FR"/>
        </w:rPr>
        <w:t xml:space="preserve">, Rec. </w:t>
      </w:r>
      <w:r w:rsidR="00873D12" w:rsidRPr="004E4ED4">
        <w:rPr>
          <w:rFonts w:ascii="Times New Roman" w:hAnsi="Times New Roman"/>
          <w:lang w:val="fr-LU"/>
        </w:rPr>
        <w:t>2004 I-9925,</w:t>
      </w:r>
    </w:p>
    <w:p w:rsidR="00297168" w:rsidRPr="004E4ED4" w:rsidRDefault="00297168" w:rsidP="008E069E">
      <w:pPr>
        <w:spacing w:before="120" w:line="360" w:lineRule="auto"/>
        <w:ind w:left="2160"/>
        <w:rPr>
          <w:rFonts w:ascii="Times New Roman" w:hAnsi="Times New Roman"/>
          <w:lang w:val="fr-LU"/>
        </w:rPr>
      </w:pPr>
      <w:r w:rsidRPr="004E4ED4">
        <w:rPr>
          <w:rFonts w:ascii="Times New Roman" w:hAnsi="Times New Roman"/>
          <w:lang w:val="fr-FR"/>
        </w:rPr>
        <w:t>Point 37 : « </w:t>
      </w:r>
      <w:r w:rsidRPr="004E4ED4">
        <w:rPr>
          <w:rFonts w:ascii="Times New Roman" w:hAnsi="Times New Roman"/>
          <w:lang w:val="fr-LU"/>
        </w:rPr>
        <w:t>a définition des conditions d’acquisition et de perte de la nationalité relève, conformément au droit international, de la compétence de chaque État membre, compétence qui doit être exercée dans le respect du droit communautaire</w:t>
      </w:r>
      <w:r w:rsidR="00873D12" w:rsidRPr="004E4ED4">
        <w:rPr>
          <w:rFonts w:ascii="Times New Roman" w:hAnsi="Times New Roman"/>
          <w:lang w:val="fr-LU"/>
        </w:rPr>
        <w:t> »</w:t>
      </w:r>
      <w:r w:rsidRPr="004E4ED4">
        <w:rPr>
          <w:rFonts w:ascii="Times New Roman" w:hAnsi="Times New Roman"/>
          <w:lang w:val="fr-LU"/>
        </w:rPr>
        <w:t>.</w:t>
      </w:r>
    </w:p>
    <w:p w:rsidR="007530BA" w:rsidRPr="004E4ED4" w:rsidRDefault="007530BA" w:rsidP="008E069E">
      <w:pPr>
        <w:spacing w:before="120" w:line="360" w:lineRule="auto"/>
        <w:ind w:left="720" w:firstLine="720"/>
        <w:rPr>
          <w:rFonts w:ascii="Times New Roman" w:hAnsi="Times New Roman"/>
          <w:lang w:val="fr-FR"/>
        </w:rPr>
      </w:pPr>
    </w:p>
    <w:p w:rsidR="00A06B7D" w:rsidRPr="004E4ED4" w:rsidRDefault="00F1457C" w:rsidP="008E069E">
      <w:pPr>
        <w:spacing w:before="120" w:line="360" w:lineRule="auto"/>
        <w:rPr>
          <w:rFonts w:ascii="Times New Roman" w:hAnsi="Times New Roman"/>
          <w:lang w:val="fr-FR"/>
        </w:rPr>
      </w:pPr>
      <w:r w:rsidRPr="004E4ED4">
        <w:rPr>
          <w:rFonts w:ascii="Times New Roman" w:hAnsi="Times New Roman"/>
          <w:lang w:val="fr-FR"/>
        </w:rPr>
        <w:tab/>
      </w:r>
      <w:r w:rsidRPr="004E4ED4">
        <w:rPr>
          <w:rFonts w:ascii="Times New Roman" w:hAnsi="Times New Roman"/>
          <w:lang w:val="fr-FR"/>
        </w:rPr>
        <w:tab/>
        <w:t xml:space="preserve">CJUE, 2 mars 2010, </w:t>
      </w:r>
      <w:proofErr w:type="spellStart"/>
      <w:r w:rsidRPr="004E4ED4">
        <w:rPr>
          <w:rFonts w:ascii="Times New Roman" w:hAnsi="Times New Roman"/>
          <w:b/>
          <w:lang w:val="fr-FR"/>
        </w:rPr>
        <w:t>Rottman</w:t>
      </w:r>
      <w:proofErr w:type="spellEnd"/>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C-135/08</w:t>
      </w:r>
      <w:r w:rsidR="00873D12" w:rsidRPr="004E4ED4">
        <w:rPr>
          <w:rFonts w:ascii="Times New Roman" w:hAnsi="Times New Roman"/>
          <w:lang w:val="fr-FR"/>
        </w:rPr>
        <w:t xml:space="preserve">, Rec. </w:t>
      </w:r>
      <w:r w:rsidR="00873D12" w:rsidRPr="004E4ED4">
        <w:rPr>
          <w:rFonts w:ascii="Times New Roman" w:hAnsi="Times New Roman"/>
          <w:lang w:val="fr-LU"/>
        </w:rPr>
        <w:t>2010 I-01449, Point</w:t>
      </w:r>
    </w:p>
    <w:p w:rsidR="005A52A1" w:rsidRPr="004E4ED4" w:rsidRDefault="005A52A1" w:rsidP="008E069E">
      <w:pPr>
        <w:spacing w:before="120" w:line="360" w:lineRule="auto"/>
        <w:ind w:left="1440"/>
        <w:rPr>
          <w:rFonts w:ascii="Times New Roman" w:hAnsi="Times New Roman"/>
          <w:lang w:val="fr-FR"/>
        </w:rPr>
      </w:pPr>
      <w:bookmarkStart w:id="2" w:name="point45"/>
      <w:r w:rsidRPr="004E4ED4">
        <w:rPr>
          <w:rFonts w:ascii="Times New Roman" w:hAnsi="Times New Roman"/>
          <w:lang w:val="fr-FR"/>
        </w:rPr>
        <w:t>45</w:t>
      </w:r>
      <w:bookmarkEnd w:id="2"/>
      <w:r w:rsidRPr="004E4ED4">
        <w:rPr>
          <w:rFonts w:ascii="Times New Roman" w:hAnsi="Times New Roman"/>
          <w:lang w:val="fr-FR"/>
        </w:rPr>
        <w:t> </w:t>
      </w:r>
      <w:r w:rsidR="00873D12" w:rsidRPr="004E4ED4">
        <w:rPr>
          <w:rFonts w:ascii="Times New Roman" w:hAnsi="Times New Roman"/>
          <w:lang w:val="fr-FR"/>
        </w:rPr>
        <w:t>: « </w:t>
      </w:r>
      <w:r w:rsidRPr="004E4ED4">
        <w:rPr>
          <w:rFonts w:ascii="Times New Roman" w:hAnsi="Times New Roman"/>
          <w:lang w:val="fr-FR"/>
        </w:rPr>
        <w:t>Ainsi, les États membres doivent, dans l’exercice de leur compétence en matière de nationalité, respecter le droit de l’Union</w:t>
      </w:r>
      <w:r w:rsidR="00873D12" w:rsidRPr="004E4ED4">
        <w:rPr>
          <w:rFonts w:ascii="Times New Roman" w:hAnsi="Times New Roman"/>
          <w:lang w:val="fr-FR"/>
        </w:rPr>
        <w:t>.</w:t>
      </w:r>
      <w:r w:rsidR="00873D12" w:rsidRPr="004E4ED4">
        <w:rPr>
          <w:rFonts w:ascii="Times New Roman" w:hAnsi="Times New Roman"/>
          <w:lang w:val="fr-LU"/>
        </w:rPr>
        <w:t> »</w:t>
      </w:r>
    </w:p>
    <w:p w:rsidR="007530BA" w:rsidRPr="004E4ED4" w:rsidRDefault="00873D12" w:rsidP="008E069E">
      <w:pPr>
        <w:spacing w:before="120" w:line="360" w:lineRule="auto"/>
        <w:ind w:left="1440"/>
        <w:rPr>
          <w:rFonts w:ascii="Times New Roman" w:hAnsi="Times New Roman"/>
          <w:lang w:val="fr-FR"/>
        </w:rPr>
      </w:pPr>
      <w:r w:rsidRPr="004E4ED4">
        <w:rPr>
          <w:rFonts w:ascii="Times New Roman" w:hAnsi="Times New Roman"/>
          <w:lang w:val="fr-FR"/>
        </w:rPr>
        <w:t xml:space="preserve">Point </w:t>
      </w:r>
      <w:r w:rsidR="005A52A1" w:rsidRPr="004E4ED4">
        <w:rPr>
          <w:rFonts w:ascii="Times New Roman" w:hAnsi="Times New Roman"/>
          <w:lang w:val="fr-FR"/>
        </w:rPr>
        <w:t xml:space="preserve">48 </w:t>
      </w:r>
      <w:r w:rsidRPr="004E4ED4">
        <w:rPr>
          <w:rFonts w:ascii="Times New Roman" w:hAnsi="Times New Roman"/>
          <w:lang w:val="fr-FR"/>
        </w:rPr>
        <w:t>: « </w:t>
      </w:r>
      <w:r w:rsidR="005A52A1" w:rsidRPr="004E4ED4">
        <w:rPr>
          <w:rFonts w:ascii="Times New Roman" w:hAnsi="Times New Roman"/>
          <w:lang w:val="fr-FR"/>
        </w:rPr>
        <w:t>l’exercice de cette compétence, dans la mesure où il affecte les droits conférés et protégés par l’ordre juridique de l’Union, comme c’est notamment le cas pour une décision de retrait de la naturalisation telle que celle en cause au principal, est susceptible d’un contrôle juridictionnel opéré au regard du droit de l’Union.</w:t>
      </w:r>
      <w:r w:rsidRPr="004E4ED4">
        <w:rPr>
          <w:rFonts w:ascii="Times New Roman" w:hAnsi="Times New Roman"/>
          <w:lang w:val="fr-FR"/>
        </w:rPr>
        <w:t> »</w:t>
      </w:r>
    </w:p>
    <w:p w:rsidR="005A52A1" w:rsidRPr="004E4ED4" w:rsidRDefault="005A52A1" w:rsidP="008E069E">
      <w:pPr>
        <w:spacing w:before="120" w:line="360" w:lineRule="auto"/>
        <w:ind w:left="1440"/>
        <w:rPr>
          <w:rFonts w:ascii="Times New Roman" w:hAnsi="Times New Roman"/>
          <w:lang w:val="fr-FR"/>
        </w:rPr>
      </w:pPr>
      <w:r w:rsidRPr="004E4ED4">
        <w:rPr>
          <w:rFonts w:ascii="Times New Roman" w:hAnsi="Times New Roman"/>
          <w:lang w:val="fr-FR"/>
        </w:rPr>
        <w:t>55 « il appartient à la juridiction de renvoi de vérifier si la décision de retrait en cause au principal respecte le principe de proportionnalité en ce qui concerne les conséquences qu’elle comporte sur la situation de la personne concernée au regard du droit de l’Union, outre, le cas échéant, l’examen de la proportionnalité de cette décision au regard du droit national.”</w:t>
      </w:r>
    </w:p>
    <w:p w:rsidR="007530BA" w:rsidRPr="004E4ED4" w:rsidRDefault="005A52A1" w:rsidP="008E069E">
      <w:pPr>
        <w:spacing w:before="120" w:line="360" w:lineRule="auto"/>
        <w:ind w:left="1440"/>
        <w:rPr>
          <w:rFonts w:ascii="Times New Roman" w:hAnsi="Times New Roman"/>
          <w:lang w:val="fr-FR"/>
        </w:rPr>
      </w:pPr>
      <w:r w:rsidRPr="004E4ED4">
        <w:rPr>
          <w:rFonts w:ascii="Times New Roman" w:hAnsi="Times New Roman"/>
          <w:lang w:val="fr-FR"/>
        </w:rPr>
        <w:t>58 “ Il incombe néanmoins à la juridiction nationale d’apprécier si, au regard de l’ensemble des circonstances pertinentes, le respect du principe de proportionnalité exige que, avant qu’une telle décision de retrait de la naturalisation prenne effet, il soit accordé à l’intéressé un délai raisonnable afin qu’il puisse essayer de recouvrer la nationalité de son État membre d’origine.</w:t>
      </w:r>
    </w:p>
    <w:p w:rsidR="00464F7E" w:rsidRPr="004E4ED4" w:rsidRDefault="00561463" w:rsidP="008E069E">
      <w:pPr>
        <w:pStyle w:val="Heading4"/>
        <w:spacing w:before="120" w:line="360" w:lineRule="auto"/>
        <w:ind w:left="720" w:firstLine="720"/>
        <w:rPr>
          <w:rFonts w:ascii="Times New Roman" w:hAnsi="Times New Roman"/>
          <w:color w:val="auto"/>
          <w:lang w:val="fr-FR"/>
        </w:rPr>
      </w:pPr>
      <w:r w:rsidRPr="004E4ED4">
        <w:rPr>
          <w:rFonts w:ascii="Times New Roman" w:hAnsi="Times New Roman"/>
          <w:color w:val="auto"/>
          <w:lang w:val="fr-FR"/>
        </w:rPr>
        <w:t>L’exercice de la libre</w:t>
      </w:r>
      <w:r w:rsidR="007530BA" w:rsidRPr="004E4ED4">
        <w:rPr>
          <w:rFonts w:ascii="Times New Roman" w:hAnsi="Times New Roman"/>
          <w:color w:val="auto"/>
          <w:lang w:val="fr-FR"/>
        </w:rPr>
        <w:t xml:space="preserve"> circulation</w:t>
      </w:r>
    </w:p>
    <w:p w:rsidR="00CA155E" w:rsidRPr="004E4ED4" w:rsidRDefault="00CA155E" w:rsidP="008E069E">
      <w:pPr>
        <w:spacing w:before="120" w:line="360" w:lineRule="auto"/>
        <w:ind w:left="720" w:firstLine="720"/>
        <w:rPr>
          <w:rFonts w:ascii="Times New Roman" w:hAnsi="Times New Roman"/>
          <w:lang w:val="fr-FR"/>
        </w:rPr>
      </w:pPr>
    </w:p>
    <w:p w:rsidR="005E6343" w:rsidRPr="004E4ED4" w:rsidRDefault="00F1457C" w:rsidP="008E069E">
      <w:pPr>
        <w:spacing w:before="120" w:line="360" w:lineRule="auto"/>
        <w:ind w:left="720" w:firstLine="720"/>
        <w:rPr>
          <w:rFonts w:ascii="Times New Roman" w:hAnsi="Times New Roman"/>
          <w:lang w:val="fr-FR"/>
        </w:rPr>
      </w:pPr>
      <w:r w:rsidRPr="004E4ED4">
        <w:rPr>
          <w:rFonts w:ascii="Times New Roman" w:hAnsi="Times New Roman"/>
          <w:lang w:val="fr-FR"/>
        </w:rPr>
        <w:t xml:space="preserve">CJUE, 5 juin 1997, </w:t>
      </w:r>
      <w:r w:rsidR="00CF27E4" w:rsidRPr="004E4ED4">
        <w:rPr>
          <w:rFonts w:ascii="Times New Roman" w:hAnsi="Times New Roman"/>
          <w:b/>
          <w:lang w:val="fr-FR"/>
        </w:rPr>
        <w:t>Uecker et Jacquet</w:t>
      </w:r>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C-64/96</w:t>
      </w:r>
      <w:r w:rsidR="00873D12" w:rsidRPr="004E4ED4">
        <w:rPr>
          <w:rFonts w:ascii="Times New Roman" w:hAnsi="Times New Roman"/>
          <w:lang w:val="fr-FR"/>
        </w:rPr>
        <w:t xml:space="preserve">, Rec. </w:t>
      </w:r>
      <w:r w:rsidR="00873D12" w:rsidRPr="004E4ED4">
        <w:rPr>
          <w:rFonts w:ascii="Times New Roman" w:hAnsi="Times New Roman"/>
        </w:rPr>
        <w:t>1997 I-3171,</w:t>
      </w:r>
    </w:p>
    <w:p w:rsidR="005E6343" w:rsidRPr="004E4ED4" w:rsidRDefault="005E6343" w:rsidP="008E069E">
      <w:pPr>
        <w:spacing w:before="120" w:line="360" w:lineRule="auto"/>
        <w:ind w:left="1440"/>
        <w:rPr>
          <w:rFonts w:ascii="Times New Roman" w:hAnsi="Times New Roman"/>
          <w:szCs w:val="13"/>
          <w:lang w:val="fr-FR"/>
        </w:rPr>
      </w:pPr>
      <w:r w:rsidRPr="004E4ED4">
        <w:rPr>
          <w:rFonts w:ascii="Times New Roman" w:hAnsi="Times New Roman"/>
          <w:lang w:val="fr-FR"/>
        </w:rPr>
        <w:t>Point 23 : « </w:t>
      </w:r>
      <w:r w:rsidRPr="004E4ED4">
        <w:rPr>
          <w:rFonts w:ascii="Times New Roman" w:hAnsi="Times New Roman"/>
          <w:szCs w:val="13"/>
          <w:lang w:val="fr-FR"/>
        </w:rPr>
        <w:t>la citoyenneté de l’Union, prévue à l’article 8 du traité CE, n’a pas pour objectif d’étendre le champ d’application matériel du traité également à des situations internes n’</w:t>
      </w:r>
      <w:r w:rsidR="007D1756" w:rsidRPr="004E4ED4">
        <w:rPr>
          <w:rFonts w:ascii="Times New Roman" w:hAnsi="Times New Roman"/>
          <w:szCs w:val="13"/>
          <w:lang w:val="fr-FR"/>
        </w:rPr>
        <w:t>ayant aucun rattachement au droit communautaire.“</w:t>
      </w:r>
    </w:p>
    <w:p w:rsidR="000529E1" w:rsidRPr="004E4ED4" w:rsidRDefault="000529E1" w:rsidP="008E069E">
      <w:pPr>
        <w:spacing w:before="120" w:line="360" w:lineRule="auto"/>
        <w:ind w:left="720" w:firstLine="720"/>
        <w:rPr>
          <w:rFonts w:ascii="Times New Roman" w:hAnsi="Times New Roman"/>
          <w:lang w:val="fr-FR"/>
        </w:rPr>
      </w:pPr>
    </w:p>
    <w:p w:rsidR="004323D6" w:rsidRPr="004E4ED4" w:rsidRDefault="000529E1"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cs="Times New Roman"/>
          <w:sz w:val="24"/>
          <w:lang w:val="fr-FR"/>
        </w:rPr>
        <w:t>L’article 3</w:t>
      </w:r>
      <w:r w:rsidR="00163B8D" w:rsidRPr="004E4ED4">
        <w:rPr>
          <w:rFonts w:ascii="Times New Roman" w:hAnsi="Times New Roman" w:cs="Times New Roman"/>
          <w:sz w:val="24"/>
          <w:lang w:val="fr-FR"/>
        </w:rPr>
        <w:t>, paragraphe 1,</w:t>
      </w:r>
      <w:r w:rsidR="00CA155E" w:rsidRPr="004E4ED4">
        <w:rPr>
          <w:rFonts w:ascii="Times New Roman" w:hAnsi="Times New Roman" w:cs="Times New Roman"/>
          <w:sz w:val="24"/>
          <w:lang w:val="fr-FR"/>
        </w:rPr>
        <w:t xml:space="preserve"> </w:t>
      </w:r>
      <w:r w:rsidRPr="004E4ED4">
        <w:rPr>
          <w:rFonts w:ascii="Times New Roman" w:hAnsi="Times New Roman" w:cs="Times New Roman"/>
          <w:sz w:val="24"/>
          <w:lang w:val="fr-FR"/>
        </w:rPr>
        <w:t xml:space="preserve">de la </w:t>
      </w:r>
      <w:r w:rsidR="004323D6" w:rsidRPr="004E4ED4">
        <w:rPr>
          <w:rFonts w:ascii="Times New Roman" w:hAnsi="Times New Roman" w:cs="Times New Roman"/>
          <w:b/>
          <w:sz w:val="24"/>
          <w:lang w:val="fr-FR"/>
        </w:rPr>
        <w:t xml:space="preserve">directive </w:t>
      </w:r>
      <w:r w:rsidRPr="004E4ED4">
        <w:rPr>
          <w:rFonts w:ascii="Times New Roman" w:hAnsi="Times New Roman" w:cs="Times New Roman"/>
          <w:b/>
          <w:sz w:val="24"/>
          <w:lang w:val="fr-FR"/>
        </w:rPr>
        <w:t>2004/38</w:t>
      </w:r>
      <w:r w:rsidRPr="004E4ED4">
        <w:rPr>
          <w:rFonts w:ascii="Times New Roman" w:hAnsi="Times New Roman" w:cs="Times New Roman"/>
          <w:sz w:val="24"/>
          <w:lang w:val="fr-FR"/>
        </w:rPr>
        <w:t>, «</w:t>
      </w:r>
      <w:r w:rsidR="00163B8D" w:rsidRPr="004E4ED4">
        <w:rPr>
          <w:rFonts w:ascii="Times New Roman" w:hAnsi="Times New Roman" w:cs="Times New Roman"/>
          <w:sz w:val="24"/>
          <w:lang w:val="fr-FR"/>
        </w:rPr>
        <w:t xml:space="preserve"> </w:t>
      </w:r>
      <w:r w:rsidRPr="004E4ED4">
        <w:rPr>
          <w:rFonts w:ascii="Times New Roman" w:hAnsi="Times New Roman" w:cs="Times New Roman"/>
          <w:sz w:val="24"/>
          <w:lang w:val="fr-FR"/>
        </w:rPr>
        <w:t>Bénéficiaires</w:t>
      </w:r>
      <w:r w:rsidR="00163B8D" w:rsidRPr="004E4ED4">
        <w:rPr>
          <w:rFonts w:ascii="Times New Roman" w:hAnsi="Times New Roman" w:cs="Times New Roman"/>
          <w:sz w:val="24"/>
          <w:lang w:val="fr-FR"/>
        </w:rPr>
        <w:t> »</w:t>
      </w:r>
      <w:r w:rsidR="004323D6" w:rsidRPr="004E4ED4">
        <w:rPr>
          <w:rFonts w:ascii="Times New Roman" w:hAnsi="Times New Roman" w:cs="Times New Roman"/>
          <w:sz w:val="24"/>
          <w:lang w:val="fr-FR"/>
        </w:rPr>
        <w:t> :</w:t>
      </w:r>
    </w:p>
    <w:p w:rsidR="004323D6" w:rsidRPr="004E4ED4" w:rsidRDefault="004323D6" w:rsidP="008E069E">
      <w:pPr>
        <w:pStyle w:val="c02alineaalta"/>
        <w:spacing w:beforeLines="0" w:afterLines="0" w:line="360" w:lineRule="auto"/>
        <w:ind w:left="1440"/>
        <w:rPr>
          <w:rFonts w:ascii="Times New Roman" w:hAnsi="Times New Roman" w:cs="Times New Roman"/>
          <w:sz w:val="24"/>
          <w:lang w:val="fr-FR"/>
        </w:rPr>
      </w:pPr>
      <w:r w:rsidRPr="004E4ED4">
        <w:rPr>
          <w:rFonts w:ascii="Times New Roman" w:hAnsi="Times New Roman" w:cs="Times New Roman"/>
          <w:sz w:val="24"/>
          <w:lang w:val="fr-FR"/>
        </w:rPr>
        <w:t xml:space="preserve">«1.       La présente directive s’applique à tout citoyen de l’Union qui </w:t>
      </w:r>
      <w:r w:rsidRPr="004E4ED4">
        <w:rPr>
          <w:rFonts w:ascii="Times New Roman" w:hAnsi="Times New Roman" w:cs="Times New Roman"/>
          <w:b/>
          <w:sz w:val="24"/>
          <w:lang w:val="fr-FR"/>
        </w:rPr>
        <w:t>se rend ou séjourne</w:t>
      </w:r>
      <w:r w:rsidRPr="004E4ED4">
        <w:rPr>
          <w:rFonts w:ascii="Times New Roman" w:hAnsi="Times New Roman" w:cs="Times New Roman"/>
          <w:sz w:val="24"/>
          <w:lang w:val="fr-FR"/>
        </w:rPr>
        <w:t xml:space="preserve"> dans un État membre </w:t>
      </w:r>
      <w:r w:rsidRPr="004E4ED4">
        <w:rPr>
          <w:rFonts w:ascii="Times New Roman" w:hAnsi="Times New Roman" w:cs="Times New Roman"/>
          <w:b/>
          <w:sz w:val="24"/>
          <w:lang w:val="fr-FR"/>
        </w:rPr>
        <w:t>autre</w:t>
      </w:r>
      <w:r w:rsidRPr="004E4ED4">
        <w:rPr>
          <w:rFonts w:ascii="Times New Roman" w:hAnsi="Times New Roman" w:cs="Times New Roman"/>
          <w:sz w:val="24"/>
          <w:lang w:val="fr-FR"/>
        </w:rPr>
        <w:t xml:space="preserve"> que celui dont il a la nationalité, ainsi qu’aux membres de sa famille, tels que définis à l’article 2, point 2), qui </w:t>
      </w:r>
      <w:r w:rsidRPr="004E4ED4">
        <w:rPr>
          <w:rFonts w:ascii="Times New Roman" w:hAnsi="Times New Roman" w:cs="Times New Roman"/>
          <w:b/>
          <w:sz w:val="24"/>
          <w:lang w:val="fr-FR"/>
        </w:rPr>
        <w:t>l’accompagnent ou le rejoignent</w:t>
      </w:r>
      <w:r w:rsidRPr="004E4ED4">
        <w:rPr>
          <w:rFonts w:ascii="Times New Roman" w:hAnsi="Times New Roman" w:cs="Times New Roman"/>
          <w:sz w:val="24"/>
          <w:lang w:val="fr-FR"/>
        </w:rPr>
        <w:t>.</w:t>
      </w:r>
    </w:p>
    <w:p w:rsidR="000529E1" w:rsidRPr="004E4ED4" w:rsidRDefault="000529E1" w:rsidP="008E069E">
      <w:pPr>
        <w:pStyle w:val="c01pointnumerotealtn"/>
        <w:spacing w:beforeLines="0" w:afterLines="0" w:line="360" w:lineRule="auto"/>
        <w:ind w:left="1440"/>
        <w:rPr>
          <w:rFonts w:ascii="Times New Roman" w:hAnsi="Times New Roman" w:cs="Times New Roman"/>
          <w:sz w:val="24"/>
          <w:lang w:val="fr-FR"/>
        </w:rPr>
      </w:pPr>
    </w:p>
    <w:p w:rsidR="00AF75E3" w:rsidRPr="004E4ED4" w:rsidRDefault="00AF75E3" w:rsidP="008E069E">
      <w:pPr>
        <w:spacing w:before="120" w:line="360" w:lineRule="auto"/>
        <w:ind w:left="720" w:firstLine="720"/>
        <w:rPr>
          <w:rFonts w:ascii="Times New Roman" w:hAnsi="Times New Roman"/>
          <w:lang w:val="fr-FR"/>
        </w:rPr>
      </w:pPr>
      <w:r w:rsidRPr="004E4ED4">
        <w:rPr>
          <w:rFonts w:ascii="Times New Roman" w:hAnsi="Times New Roman"/>
          <w:lang w:val="fr-FR"/>
        </w:rPr>
        <w:t xml:space="preserve">CJUE, 8 mai 2013, </w:t>
      </w:r>
      <w:proofErr w:type="spellStart"/>
      <w:r w:rsidRPr="004E4ED4">
        <w:rPr>
          <w:rFonts w:ascii="Times New Roman" w:hAnsi="Times New Roman"/>
          <w:b/>
          <w:lang w:val="fr-FR"/>
        </w:rPr>
        <w:t>Ymeraga</w:t>
      </w:r>
      <w:proofErr w:type="spellEnd"/>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C-87/12</w:t>
      </w:r>
      <w:r w:rsidR="00873D12" w:rsidRPr="004E4ED4">
        <w:rPr>
          <w:rFonts w:ascii="Times New Roman" w:hAnsi="Times New Roman"/>
          <w:lang w:val="fr-FR"/>
        </w:rPr>
        <w:t xml:space="preserve">, </w:t>
      </w:r>
      <w:r w:rsidR="00873D12" w:rsidRPr="004E4ED4">
        <w:rPr>
          <w:rFonts w:ascii="Times New Roman" w:hAnsi="Times New Roman"/>
        </w:rPr>
        <w:t xml:space="preserve">non encore </w:t>
      </w:r>
      <w:proofErr w:type="spellStart"/>
      <w:r w:rsidR="00873D12" w:rsidRPr="004E4ED4">
        <w:rPr>
          <w:rFonts w:ascii="Times New Roman" w:hAnsi="Times New Roman"/>
        </w:rPr>
        <w:t>publié</w:t>
      </w:r>
      <w:proofErr w:type="spellEnd"/>
    </w:p>
    <w:p w:rsidR="00AF75E3" w:rsidRPr="004E4ED4" w:rsidRDefault="002D1BCC" w:rsidP="008E069E">
      <w:pPr>
        <w:spacing w:before="120" w:line="360" w:lineRule="auto"/>
        <w:ind w:left="1440"/>
        <w:rPr>
          <w:rFonts w:ascii="Times New Roman" w:hAnsi="Times New Roman"/>
          <w:lang w:val="fr-FR"/>
        </w:rPr>
      </w:pPr>
      <w:r w:rsidRPr="004E4ED4">
        <w:rPr>
          <w:rFonts w:ascii="Times New Roman" w:hAnsi="Times New Roman"/>
          <w:lang w:val="fr-FR"/>
        </w:rPr>
        <w:t>Point 30 : “un citoyen de l’Union, qui n’a jamais fait usage de son droit de libre circulation et qui a toujours séjourné dans un État membre dont il possède la nationalité, ne relève pas de la notion de «bénéficiaire», au sens de cette disposition, de sorte que la directive 2004/38 ne lui est pas applicable.”</w:t>
      </w:r>
    </w:p>
    <w:p w:rsidR="00163B8D" w:rsidRPr="004E4ED4" w:rsidRDefault="00163B8D" w:rsidP="008E069E">
      <w:pPr>
        <w:spacing w:before="120" w:line="360" w:lineRule="auto"/>
        <w:ind w:left="720" w:firstLine="720"/>
        <w:rPr>
          <w:rFonts w:ascii="Times New Roman" w:hAnsi="Times New Roman"/>
          <w:lang w:val="fr-FR"/>
        </w:rPr>
      </w:pPr>
    </w:p>
    <w:p w:rsidR="005E6343" w:rsidRPr="004E4ED4" w:rsidRDefault="00163B8D" w:rsidP="008E069E">
      <w:pPr>
        <w:spacing w:before="120" w:line="360" w:lineRule="auto"/>
        <w:ind w:left="1440"/>
        <w:rPr>
          <w:rFonts w:ascii="Times New Roman" w:hAnsi="Times New Roman"/>
          <w:lang w:val="fr-FR"/>
        </w:rPr>
      </w:pPr>
      <w:r w:rsidRPr="004E4ED4">
        <w:rPr>
          <w:rFonts w:ascii="Times New Roman" w:hAnsi="Times New Roman"/>
          <w:lang w:val="fr-FR"/>
        </w:rPr>
        <w:t>CJUE, 24 octobre 2013,</w:t>
      </w:r>
      <w:r w:rsidR="001E5BC3" w:rsidRPr="004E4ED4">
        <w:rPr>
          <w:rFonts w:ascii="Times New Roman" w:hAnsi="Times New Roman"/>
          <w:lang w:val="fr-FR"/>
        </w:rPr>
        <w:t xml:space="preserve"> </w:t>
      </w:r>
      <w:proofErr w:type="spellStart"/>
      <w:r w:rsidR="001E5BC3" w:rsidRPr="004E4ED4">
        <w:rPr>
          <w:rFonts w:ascii="Times New Roman" w:hAnsi="Times New Roman"/>
          <w:b/>
          <w:lang w:val="fr-FR"/>
        </w:rPr>
        <w:t>Elrick</w:t>
      </w:r>
      <w:proofErr w:type="spellEnd"/>
      <w:r w:rsidR="001E5BC3" w:rsidRPr="004E4ED4">
        <w:rPr>
          <w:rFonts w:ascii="Times New Roman" w:hAnsi="Times New Roman"/>
          <w:lang w:val="fr-FR"/>
        </w:rPr>
        <w:t xml:space="preserve">, </w:t>
      </w:r>
      <w:proofErr w:type="spellStart"/>
      <w:r w:rsidR="001E5BC3" w:rsidRPr="004E4ED4">
        <w:rPr>
          <w:rFonts w:ascii="Times New Roman" w:hAnsi="Times New Roman"/>
          <w:lang w:val="fr-FR"/>
        </w:rPr>
        <w:t>aff</w:t>
      </w:r>
      <w:proofErr w:type="spellEnd"/>
      <w:r w:rsidR="001E5BC3" w:rsidRPr="004E4ED4">
        <w:rPr>
          <w:rFonts w:ascii="Times New Roman" w:hAnsi="Times New Roman"/>
          <w:lang w:val="fr-FR"/>
        </w:rPr>
        <w:t xml:space="preserve">. C-275/12, </w:t>
      </w:r>
      <w:r w:rsidR="00873D12" w:rsidRPr="004E4ED4">
        <w:rPr>
          <w:rFonts w:ascii="Times New Roman" w:hAnsi="Times New Roman"/>
        </w:rPr>
        <w:t xml:space="preserve">non encore </w:t>
      </w:r>
      <w:proofErr w:type="spellStart"/>
      <w:r w:rsidR="00873D12" w:rsidRPr="004E4ED4">
        <w:rPr>
          <w:rFonts w:ascii="Times New Roman" w:hAnsi="Times New Roman"/>
        </w:rPr>
        <w:t>publié</w:t>
      </w:r>
      <w:proofErr w:type="spellEnd"/>
    </w:p>
    <w:p w:rsidR="00D664A4" w:rsidRPr="004E4ED4" w:rsidRDefault="00D664A4" w:rsidP="008E069E">
      <w:pPr>
        <w:spacing w:before="120" w:line="360" w:lineRule="auto"/>
        <w:ind w:left="1440"/>
        <w:rPr>
          <w:rFonts w:ascii="Times New Roman" w:hAnsi="Times New Roman"/>
          <w:lang w:val="fr-FR"/>
        </w:rPr>
      </w:pPr>
      <w:r w:rsidRPr="004E4ED4">
        <w:rPr>
          <w:rFonts w:ascii="Times New Roman" w:hAnsi="Times New Roman"/>
          <w:lang w:val="fr-FR"/>
        </w:rPr>
        <w:t>Point 18 : « en tant que ressortissante allemande, M</w:t>
      </w:r>
      <w:r w:rsidRPr="004E4ED4">
        <w:rPr>
          <w:rFonts w:ascii="Times New Roman" w:hAnsi="Times New Roman"/>
          <w:vertAlign w:val="superscript"/>
          <w:lang w:val="fr-FR"/>
        </w:rPr>
        <w:t xml:space="preserve">me </w:t>
      </w:r>
      <w:proofErr w:type="spellStart"/>
      <w:r w:rsidRPr="004E4ED4">
        <w:rPr>
          <w:rFonts w:ascii="Times New Roman" w:hAnsi="Times New Roman"/>
          <w:lang w:val="fr-FR"/>
        </w:rPr>
        <w:t>Elrick</w:t>
      </w:r>
      <w:proofErr w:type="spellEnd"/>
      <w:r w:rsidRPr="004E4ED4">
        <w:rPr>
          <w:rFonts w:ascii="Times New Roman" w:hAnsi="Times New Roman"/>
          <w:lang w:val="fr-FR"/>
        </w:rPr>
        <w:t xml:space="preserve"> jouit du statut de </w:t>
      </w:r>
      <w:bookmarkStart w:id="3" w:name="ctx1"/>
      <w:r w:rsidRPr="004E4ED4">
        <w:rPr>
          <w:rFonts w:ascii="Times New Roman" w:hAnsi="Times New Roman"/>
          <w:lang w:val="fr-FR"/>
        </w:rPr>
        <w:t>citoyen de l’Union</w:t>
      </w:r>
      <w:bookmarkEnd w:id="3"/>
      <w:r w:rsidRPr="004E4ED4">
        <w:rPr>
          <w:rFonts w:ascii="Times New Roman" w:hAnsi="Times New Roman"/>
          <w:lang w:val="fr-FR"/>
        </w:rPr>
        <w:t xml:space="preserve"> aux termes de l</w:t>
      </w:r>
      <w:r w:rsidR="00197EC2" w:rsidRPr="004E4ED4">
        <w:rPr>
          <w:rFonts w:ascii="Times New Roman" w:hAnsi="Times New Roman"/>
          <w:lang w:val="fr-FR"/>
        </w:rPr>
        <w:t>’article 20, par.</w:t>
      </w:r>
      <w:r w:rsidRPr="004E4ED4">
        <w:rPr>
          <w:rFonts w:ascii="Times New Roman" w:hAnsi="Times New Roman"/>
          <w:lang w:val="fr-FR"/>
        </w:rPr>
        <w:t xml:space="preserve"> 1, TFUE et peut donc se prévaloir, y compris le cas échéant à l’égard de son État membre d’origine, des droits afférents à un tel statut »</w:t>
      </w:r>
    </w:p>
    <w:p w:rsidR="00464F7E" w:rsidRPr="004E4ED4" w:rsidRDefault="001E5BC3" w:rsidP="008E069E">
      <w:pPr>
        <w:spacing w:before="120" w:line="360" w:lineRule="auto"/>
        <w:ind w:left="1440"/>
        <w:rPr>
          <w:rFonts w:ascii="Times New Roman" w:hAnsi="Times New Roman"/>
          <w:lang w:val="fr-FR"/>
        </w:rPr>
      </w:pPr>
      <w:r w:rsidRPr="004E4ED4">
        <w:rPr>
          <w:rFonts w:ascii="Times New Roman" w:hAnsi="Times New Roman"/>
          <w:lang w:val="fr-FR"/>
        </w:rPr>
        <w:t>point 22 : « une réglementation nationale désavantageant certains ressortissants nationaux du seul fait qu’ils ont exercé leur liberté de circuler et de séjourner dans un autre État membre constitue une restriction aux libertés reconnues par l’article 21 »</w:t>
      </w:r>
      <w:r w:rsidR="00197EC2" w:rsidRPr="004E4ED4">
        <w:rPr>
          <w:rFonts w:ascii="Times New Roman" w:hAnsi="Times New Roman"/>
          <w:lang w:val="fr-FR"/>
        </w:rPr>
        <w:t xml:space="preserve"> (réside en GB)</w:t>
      </w:r>
    </w:p>
    <w:p w:rsidR="004D6C08" w:rsidRPr="004E4ED4" w:rsidRDefault="00163B8D" w:rsidP="008E069E">
      <w:pPr>
        <w:pStyle w:val="Heading3"/>
        <w:spacing w:before="120" w:line="360" w:lineRule="auto"/>
        <w:ind w:firstLine="720"/>
        <w:rPr>
          <w:rFonts w:ascii="Times New Roman" w:hAnsi="Times New Roman"/>
          <w:color w:val="auto"/>
          <w:lang w:val="fr-FR"/>
        </w:rPr>
      </w:pPr>
      <w:r w:rsidRPr="004E4ED4">
        <w:rPr>
          <w:rFonts w:ascii="Times New Roman" w:hAnsi="Times New Roman"/>
          <w:color w:val="auto"/>
          <w:lang w:val="fr-FR"/>
        </w:rPr>
        <w:t xml:space="preserve">2. </w:t>
      </w:r>
      <w:r w:rsidR="00464F7E" w:rsidRPr="004E4ED4">
        <w:rPr>
          <w:rFonts w:ascii="Times New Roman" w:hAnsi="Times New Roman"/>
          <w:color w:val="auto"/>
          <w:lang w:val="fr-FR"/>
        </w:rPr>
        <w:t>Le contenu du statut</w:t>
      </w:r>
      <w:r w:rsidR="00640B5E" w:rsidRPr="004E4ED4">
        <w:rPr>
          <w:rFonts w:ascii="Times New Roman" w:hAnsi="Times New Roman"/>
          <w:color w:val="auto"/>
          <w:lang w:val="fr-FR"/>
        </w:rPr>
        <w:t> : les droits afférents</w:t>
      </w:r>
    </w:p>
    <w:p w:rsidR="00AF34C9" w:rsidRPr="004E4ED4" w:rsidRDefault="00AF34C9" w:rsidP="008E069E">
      <w:pPr>
        <w:spacing w:before="120" w:line="360" w:lineRule="auto"/>
        <w:ind w:firstLine="720"/>
        <w:rPr>
          <w:rFonts w:ascii="Times New Roman" w:hAnsi="Times New Roman"/>
          <w:lang w:val="fr-FR"/>
        </w:rPr>
      </w:pPr>
    </w:p>
    <w:p w:rsidR="00AF34C9" w:rsidRPr="004E4ED4" w:rsidRDefault="00F1457C" w:rsidP="008E069E">
      <w:pPr>
        <w:spacing w:before="120" w:line="360" w:lineRule="auto"/>
        <w:ind w:firstLine="720"/>
        <w:rPr>
          <w:rFonts w:ascii="Times New Roman" w:hAnsi="Times New Roman"/>
          <w:lang w:val="fr-FR"/>
        </w:rPr>
      </w:pPr>
      <w:r w:rsidRPr="004E4ED4">
        <w:rPr>
          <w:rFonts w:ascii="Times New Roman" w:hAnsi="Times New Roman"/>
          <w:lang w:val="fr-FR"/>
        </w:rPr>
        <w:t>(</w:t>
      </w:r>
      <w:r w:rsidR="00A42965" w:rsidRPr="004E4ED4">
        <w:rPr>
          <w:rFonts w:ascii="Times New Roman" w:hAnsi="Times New Roman"/>
          <w:lang w:val="fr-FR"/>
        </w:rPr>
        <w:t xml:space="preserve">A l’exclusion </w:t>
      </w:r>
      <w:r w:rsidR="001C6516" w:rsidRPr="004E4ED4">
        <w:rPr>
          <w:rFonts w:ascii="Times New Roman" w:hAnsi="Times New Roman"/>
          <w:lang w:val="fr-FR"/>
        </w:rPr>
        <w:t xml:space="preserve">toutefois </w:t>
      </w:r>
      <w:r w:rsidR="00A42965" w:rsidRPr="004E4ED4">
        <w:rPr>
          <w:rFonts w:ascii="Times New Roman" w:hAnsi="Times New Roman"/>
          <w:lang w:val="fr-FR"/>
        </w:rPr>
        <w:t>des droits fondamentaux traités par</w:t>
      </w:r>
      <w:r w:rsidRPr="004E4ED4">
        <w:rPr>
          <w:rFonts w:ascii="Times New Roman" w:hAnsi="Times New Roman"/>
          <w:lang w:val="fr-FR"/>
        </w:rPr>
        <w:t xml:space="preserve"> </w:t>
      </w:r>
      <w:r w:rsidR="00255CDD" w:rsidRPr="004E4ED4">
        <w:rPr>
          <w:rFonts w:ascii="Times New Roman" w:hAnsi="Times New Roman"/>
          <w:lang w:val="fr-FR"/>
        </w:rPr>
        <w:t>Enzo Cannizzaro.)</w:t>
      </w:r>
      <w:r w:rsidR="00C1509D" w:rsidRPr="004E4ED4">
        <w:rPr>
          <w:rFonts w:ascii="Times New Roman" w:hAnsi="Times New Roman"/>
          <w:lang w:val="fr-FR"/>
        </w:rPr>
        <w:t xml:space="preserve"> </w:t>
      </w:r>
    </w:p>
    <w:p w:rsidR="004D6C08" w:rsidRPr="004E4ED4" w:rsidRDefault="00C1509D" w:rsidP="008E069E">
      <w:pPr>
        <w:spacing w:before="120" w:line="360" w:lineRule="auto"/>
        <w:ind w:left="720"/>
        <w:rPr>
          <w:rFonts w:ascii="Times New Roman" w:hAnsi="Times New Roman"/>
          <w:lang w:val="fr-FR"/>
        </w:rPr>
      </w:pPr>
      <w:r w:rsidRPr="004E4ED4">
        <w:rPr>
          <w:rFonts w:ascii="Times New Roman" w:hAnsi="Times New Roman"/>
          <w:lang w:val="fr-FR"/>
        </w:rPr>
        <w:t>La Cour qualifie le droit d</w:t>
      </w:r>
      <w:r w:rsidR="004A0CCB" w:rsidRPr="004E4ED4">
        <w:rPr>
          <w:rFonts w:ascii="Times New Roman" w:hAnsi="Times New Roman"/>
          <w:lang w:val="fr-FR"/>
        </w:rPr>
        <w:t xml:space="preserve">u citoyen de l’Union de </w:t>
      </w:r>
      <w:r w:rsidR="004A0CCB" w:rsidRPr="004E4ED4">
        <w:rPr>
          <w:rFonts w:ascii="Times New Roman" w:hAnsi="Times New Roman"/>
          <w:b/>
          <w:i/>
          <w:lang w:val="fr-FR"/>
        </w:rPr>
        <w:t xml:space="preserve">« droit fondamental et individuel de circuler et de séjourner librement sur le territoire des États membres qui est conféré directement à chaque citoyen de l’Union par le traité </w:t>
      </w:r>
      <w:r w:rsidRPr="004E4ED4">
        <w:rPr>
          <w:rFonts w:ascii="Times New Roman" w:hAnsi="Times New Roman"/>
          <w:b/>
          <w:i/>
          <w:lang w:val="fr-FR"/>
        </w:rPr>
        <w:t>»</w:t>
      </w:r>
      <w:r w:rsidR="00AF34C9" w:rsidRPr="004E4ED4">
        <w:rPr>
          <w:rFonts w:ascii="Times New Roman" w:hAnsi="Times New Roman"/>
          <w:lang w:val="fr-FR"/>
        </w:rPr>
        <w:t xml:space="preserve"> (CJUE, 19</w:t>
      </w:r>
      <w:r w:rsidR="00CA6B12" w:rsidRPr="004E4ED4">
        <w:rPr>
          <w:rFonts w:ascii="Times New Roman" w:hAnsi="Times New Roman"/>
          <w:lang w:val="fr-FR"/>
        </w:rPr>
        <w:t xml:space="preserve"> septembre </w:t>
      </w:r>
      <w:r w:rsidR="00AF34C9" w:rsidRPr="004E4ED4">
        <w:rPr>
          <w:rFonts w:ascii="Times New Roman" w:hAnsi="Times New Roman"/>
          <w:lang w:val="fr-FR"/>
        </w:rPr>
        <w:t xml:space="preserve">2013, </w:t>
      </w:r>
      <w:proofErr w:type="spellStart"/>
      <w:r w:rsidR="00AF34C9" w:rsidRPr="004E4ED4">
        <w:rPr>
          <w:rFonts w:ascii="Times New Roman" w:hAnsi="Times New Roman"/>
          <w:b/>
          <w:lang w:val="fr-FR"/>
        </w:rPr>
        <w:t>Brey</w:t>
      </w:r>
      <w:proofErr w:type="spellEnd"/>
      <w:r w:rsidR="00AF34C9" w:rsidRPr="004E4ED4">
        <w:rPr>
          <w:rFonts w:ascii="Times New Roman" w:hAnsi="Times New Roman"/>
          <w:lang w:val="fr-FR"/>
        </w:rPr>
        <w:t>,</w:t>
      </w:r>
      <w:r w:rsidR="00CA6B12" w:rsidRPr="004E4ED4">
        <w:rPr>
          <w:rFonts w:ascii="Times New Roman" w:hAnsi="Times New Roman"/>
          <w:lang w:val="fr-FR"/>
        </w:rPr>
        <w:t xml:space="preserve"> </w:t>
      </w:r>
      <w:proofErr w:type="spellStart"/>
      <w:r w:rsidR="00CA6B12" w:rsidRPr="004E4ED4">
        <w:rPr>
          <w:rFonts w:ascii="Times New Roman" w:hAnsi="Times New Roman"/>
          <w:lang w:val="fr-FR"/>
        </w:rPr>
        <w:t>aff</w:t>
      </w:r>
      <w:proofErr w:type="spellEnd"/>
      <w:r w:rsidR="00CA6B12" w:rsidRPr="004E4ED4">
        <w:rPr>
          <w:rFonts w:ascii="Times New Roman" w:hAnsi="Times New Roman"/>
          <w:lang w:val="fr-FR"/>
        </w:rPr>
        <w:t xml:space="preserve">. </w:t>
      </w:r>
      <w:r w:rsidR="00CA6B12" w:rsidRPr="004E4ED4">
        <w:rPr>
          <w:rFonts w:ascii="Times New Roman" w:hAnsi="Times New Roman"/>
          <w:lang w:val="fr-LU"/>
        </w:rPr>
        <w:t>C-140/12, non encore publié,</w:t>
      </w:r>
      <w:r w:rsidR="00AF34C9" w:rsidRPr="004E4ED4">
        <w:rPr>
          <w:rFonts w:ascii="Times New Roman" w:hAnsi="Times New Roman"/>
          <w:lang w:val="fr-FR"/>
        </w:rPr>
        <w:t xml:space="preserve"> </w:t>
      </w:r>
      <w:r w:rsidR="00CA6B12" w:rsidRPr="004E4ED4">
        <w:rPr>
          <w:rFonts w:ascii="Times New Roman" w:hAnsi="Times New Roman"/>
          <w:lang w:val="fr-FR"/>
        </w:rPr>
        <w:t>P</w:t>
      </w:r>
      <w:r w:rsidR="00AF34C9" w:rsidRPr="004E4ED4">
        <w:rPr>
          <w:rFonts w:ascii="Times New Roman" w:hAnsi="Times New Roman"/>
          <w:lang w:val="fr-FR"/>
        </w:rPr>
        <w:t>oint 53) ce qui correspond au contenu de l’article 45 CFR, sans qu’elle s’y réfère nécessairement.</w:t>
      </w:r>
    </w:p>
    <w:p w:rsidR="00A35B52" w:rsidRPr="004E4ED4" w:rsidRDefault="00464F7E" w:rsidP="008E069E">
      <w:pPr>
        <w:pStyle w:val="Heading4"/>
        <w:spacing w:before="120" w:line="360" w:lineRule="auto"/>
        <w:ind w:left="720" w:firstLine="720"/>
        <w:rPr>
          <w:rFonts w:ascii="Times New Roman" w:hAnsi="Times New Roman"/>
          <w:color w:val="auto"/>
          <w:lang w:val="fr-FR"/>
        </w:rPr>
      </w:pPr>
      <w:r w:rsidRPr="004E4ED4">
        <w:rPr>
          <w:rFonts w:ascii="Times New Roman" w:hAnsi="Times New Roman"/>
          <w:color w:val="auto"/>
          <w:lang w:val="fr-FR"/>
        </w:rPr>
        <w:t>L’opposabilité</w:t>
      </w:r>
      <w:r w:rsidR="004F48DC" w:rsidRPr="004E4ED4">
        <w:rPr>
          <w:rFonts w:ascii="Times New Roman" w:hAnsi="Times New Roman"/>
          <w:color w:val="auto"/>
          <w:lang w:val="fr-FR"/>
        </w:rPr>
        <w:t xml:space="preserve"> du statut</w:t>
      </w:r>
    </w:p>
    <w:p w:rsidR="00F1457C" w:rsidRPr="004E4ED4" w:rsidRDefault="00F1457C" w:rsidP="008E069E">
      <w:pPr>
        <w:spacing w:before="120" w:line="360" w:lineRule="auto"/>
        <w:ind w:left="1440"/>
        <w:rPr>
          <w:rFonts w:ascii="Times New Roman" w:hAnsi="Times New Roman"/>
          <w:lang w:val="fr-FR"/>
        </w:rPr>
      </w:pPr>
    </w:p>
    <w:p w:rsidR="004323D6" w:rsidRPr="004E4ED4" w:rsidRDefault="00456846" w:rsidP="008E069E">
      <w:pPr>
        <w:spacing w:before="120" w:line="360" w:lineRule="auto"/>
        <w:ind w:left="1440"/>
        <w:rPr>
          <w:rFonts w:ascii="Times New Roman" w:hAnsi="Times New Roman"/>
          <w:lang w:val="fr-FR"/>
        </w:rPr>
      </w:pPr>
      <w:r w:rsidRPr="004E4ED4">
        <w:rPr>
          <w:rFonts w:ascii="Times New Roman" w:hAnsi="Times New Roman"/>
          <w:lang w:val="fr-FR"/>
        </w:rPr>
        <w:t xml:space="preserve">- </w:t>
      </w:r>
      <w:r w:rsidR="00745FDB" w:rsidRPr="004E4ED4">
        <w:rPr>
          <w:rFonts w:ascii="Times New Roman" w:hAnsi="Times New Roman"/>
          <w:lang w:val="fr-FR"/>
        </w:rPr>
        <w:t xml:space="preserve">En ce qui concerne notamment </w:t>
      </w:r>
      <w:r w:rsidR="00405C87" w:rsidRPr="004E4ED4">
        <w:rPr>
          <w:rFonts w:ascii="Times New Roman" w:hAnsi="Times New Roman"/>
          <w:lang w:val="fr-FR"/>
        </w:rPr>
        <w:t xml:space="preserve">la reconnaissance de la nationalité et du </w:t>
      </w:r>
      <w:r w:rsidR="00745FDB" w:rsidRPr="004E4ED4">
        <w:rPr>
          <w:rFonts w:ascii="Times New Roman" w:hAnsi="Times New Roman"/>
          <w:lang w:val="fr-FR"/>
        </w:rPr>
        <w:t xml:space="preserve"> n</w:t>
      </w:r>
      <w:r w:rsidR="004F48DC" w:rsidRPr="004E4ED4">
        <w:rPr>
          <w:rFonts w:ascii="Times New Roman" w:hAnsi="Times New Roman"/>
          <w:lang w:val="fr-FR"/>
        </w:rPr>
        <w:t xml:space="preserve">om de famille : </w:t>
      </w:r>
    </w:p>
    <w:p w:rsidR="004F37B7" w:rsidRPr="004E4ED4" w:rsidRDefault="00745FDB" w:rsidP="008E069E">
      <w:pPr>
        <w:spacing w:before="120" w:line="360" w:lineRule="auto"/>
        <w:ind w:left="1440"/>
        <w:rPr>
          <w:rFonts w:ascii="Times New Roman" w:hAnsi="Times New Roman"/>
          <w:lang w:val="fr-FR"/>
        </w:rPr>
      </w:pPr>
      <w:r w:rsidRPr="004E4ED4">
        <w:rPr>
          <w:rFonts w:ascii="Times New Roman" w:hAnsi="Times New Roman"/>
          <w:lang w:val="fr-FR"/>
        </w:rPr>
        <w:t xml:space="preserve">CJUE, 2 octobre 2003, </w:t>
      </w:r>
      <w:r w:rsidR="004F48DC" w:rsidRPr="004E4ED4">
        <w:rPr>
          <w:rFonts w:ascii="Times New Roman" w:hAnsi="Times New Roman"/>
          <w:b/>
          <w:lang w:val="fr-FR"/>
        </w:rPr>
        <w:t xml:space="preserve">Garcia </w:t>
      </w:r>
      <w:proofErr w:type="spellStart"/>
      <w:r w:rsidR="004F48DC" w:rsidRPr="004E4ED4">
        <w:rPr>
          <w:rFonts w:ascii="Times New Roman" w:hAnsi="Times New Roman"/>
          <w:b/>
          <w:lang w:val="fr-FR"/>
        </w:rPr>
        <w:t>Avello</w:t>
      </w:r>
      <w:proofErr w:type="spellEnd"/>
      <w:r w:rsidR="004F48DC"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C-148/02</w:t>
      </w:r>
      <w:r w:rsidR="00CA6B12" w:rsidRPr="004E4ED4">
        <w:rPr>
          <w:rFonts w:ascii="Times New Roman" w:hAnsi="Times New Roman"/>
          <w:lang w:val="fr-FR"/>
        </w:rPr>
        <w:t xml:space="preserve">, Rec. </w:t>
      </w:r>
      <w:r w:rsidR="00CA6B12" w:rsidRPr="004E4ED4">
        <w:rPr>
          <w:rFonts w:ascii="Times New Roman" w:hAnsi="Times New Roman"/>
          <w:lang w:val="fr-LU"/>
        </w:rPr>
        <w:t>2003 I-11613</w:t>
      </w:r>
      <w:r w:rsidRPr="004E4ED4">
        <w:rPr>
          <w:rFonts w:ascii="Times New Roman" w:hAnsi="Times New Roman"/>
          <w:lang w:val="fr-FR"/>
        </w:rPr>
        <w:t xml:space="preserve">; </w:t>
      </w:r>
    </w:p>
    <w:p w:rsidR="00405C87" w:rsidRPr="004E4ED4" w:rsidRDefault="00CA6B12" w:rsidP="008E069E">
      <w:pPr>
        <w:spacing w:before="120" w:line="360" w:lineRule="auto"/>
        <w:ind w:left="1440"/>
        <w:rPr>
          <w:rFonts w:ascii="Times New Roman" w:hAnsi="Times New Roman"/>
          <w:lang w:val="fr-FR"/>
        </w:rPr>
      </w:pPr>
      <w:r w:rsidRPr="004E4ED4">
        <w:rPr>
          <w:rFonts w:ascii="Times New Roman" w:hAnsi="Times New Roman"/>
          <w:lang w:val="fr-FR"/>
        </w:rPr>
        <w:t xml:space="preserve">Point </w:t>
      </w:r>
      <w:r w:rsidR="00405C87" w:rsidRPr="004E4ED4">
        <w:rPr>
          <w:rFonts w:ascii="Times New Roman" w:hAnsi="Times New Roman"/>
          <w:lang w:val="fr-FR"/>
        </w:rPr>
        <w:t>28 “il n'appartient pas à un État membre de restreindre les effets de l'attribution de la nationalité d'un autre État membre, en exigeant une condition supplémentaire pour la reconnaissance de cette nationalité en vue de l'exercice des libertés fondamentales prévues par le traité »</w:t>
      </w:r>
    </w:p>
    <w:p w:rsidR="00405C87" w:rsidRPr="004E4ED4" w:rsidRDefault="00405C87" w:rsidP="008E069E">
      <w:pPr>
        <w:spacing w:before="120" w:line="360" w:lineRule="auto"/>
        <w:ind w:left="1440"/>
        <w:rPr>
          <w:rFonts w:ascii="Times New Roman" w:hAnsi="Times New Roman"/>
          <w:lang w:val="fr-FR"/>
        </w:rPr>
      </w:pPr>
    </w:p>
    <w:p w:rsidR="00405C87" w:rsidRPr="004E4ED4" w:rsidRDefault="00456846" w:rsidP="008E069E">
      <w:pPr>
        <w:spacing w:before="120" w:line="360" w:lineRule="auto"/>
        <w:ind w:left="1440"/>
        <w:rPr>
          <w:rFonts w:ascii="Times New Roman" w:hAnsi="Times New Roman"/>
          <w:lang w:val="fr-FR"/>
        </w:rPr>
      </w:pPr>
      <w:r w:rsidRPr="004E4ED4">
        <w:rPr>
          <w:rFonts w:ascii="Times New Roman" w:hAnsi="Times New Roman"/>
          <w:lang w:val="fr-FR"/>
        </w:rPr>
        <w:t xml:space="preserve">- </w:t>
      </w:r>
      <w:r w:rsidR="00405C87" w:rsidRPr="004E4ED4">
        <w:rPr>
          <w:rFonts w:ascii="Times New Roman" w:hAnsi="Times New Roman"/>
          <w:lang w:val="fr-FR"/>
        </w:rPr>
        <w:t>Sur le nom patronymique, voir en outre :</w:t>
      </w:r>
    </w:p>
    <w:p w:rsidR="00405C87" w:rsidRPr="004E4ED4" w:rsidRDefault="00745FDB" w:rsidP="008E069E">
      <w:pPr>
        <w:spacing w:before="120" w:line="360" w:lineRule="auto"/>
        <w:ind w:left="1440"/>
        <w:rPr>
          <w:rFonts w:ascii="Times New Roman" w:hAnsi="Times New Roman"/>
          <w:lang w:val="fr-FR"/>
        </w:rPr>
      </w:pPr>
      <w:r w:rsidRPr="004E4ED4">
        <w:rPr>
          <w:rFonts w:ascii="Times New Roman" w:hAnsi="Times New Roman"/>
          <w:lang w:val="fr-FR"/>
        </w:rPr>
        <w:t>CJUE,</w:t>
      </w:r>
      <w:r w:rsidR="001C6516" w:rsidRPr="004E4ED4">
        <w:rPr>
          <w:rFonts w:ascii="Times New Roman" w:hAnsi="Times New Roman"/>
          <w:lang w:val="fr-FR"/>
        </w:rPr>
        <w:t xml:space="preserve"> </w:t>
      </w:r>
      <w:r w:rsidRPr="004E4ED4">
        <w:rPr>
          <w:rFonts w:ascii="Times New Roman" w:hAnsi="Times New Roman"/>
          <w:lang w:val="fr-FR"/>
        </w:rPr>
        <w:t xml:space="preserve">14 octobre 2008, </w:t>
      </w:r>
      <w:proofErr w:type="spellStart"/>
      <w:r w:rsidR="00C04AE0" w:rsidRPr="004E4ED4">
        <w:rPr>
          <w:rFonts w:ascii="Times New Roman" w:hAnsi="Times New Roman"/>
          <w:b/>
          <w:lang w:val="fr-FR"/>
        </w:rPr>
        <w:t>Grunkin</w:t>
      </w:r>
      <w:proofErr w:type="spellEnd"/>
      <w:r w:rsidR="00C04AE0" w:rsidRPr="004E4ED4">
        <w:rPr>
          <w:rFonts w:ascii="Times New Roman" w:hAnsi="Times New Roman"/>
          <w:lang w:val="fr-FR"/>
        </w:rPr>
        <w:t xml:space="preserve"> </w:t>
      </w:r>
      <w:r w:rsidR="00C04AE0" w:rsidRPr="004E4ED4">
        <w:rPr>
          <w:rFonts w:ascii="Times New Roman" w:hAnsi="Times New Roman"/>
          <w:b/>
          <w:lang w:val="fr-FR"/>
        </w:rPr>
        <w:t>et Paul</w:t>
      </w:r>
      <w:r w:rsidR="00255CDD"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C-353/06</w:t>
      </w:r>
      <w:r w:rsidR="00CA6B12" w:rsidRPr="004E4ED4">
        <w:rPr>
          <w:rFonts w:ascii="Times New Roman" w:hAnsi="Times New Roman"/>
          <w:lang w:val="fr-FR"/>
        </w:rPr>
        <w:t xml:space="preserve">, Rec. </w:t>
      </w:r>
      <w:r w:rsidR="00CA6B12" w:rsidRPr="004E4ED4">
        <w:rPr>
          <w:rFonts w:ascii="Times New Roman" w:hAnsi="Times New Roman"/>
        </w:rPr>
        <w:t>2008 I-7639</w:t>
      </w:r>
      <w:r w:rsidRPr="004E4ED4">
        <w:rPr>
          <w:rFonts w:ascii="Times New Roman" w:hAnsi="Times New Roman"/>
          <w:lang w:val="fr-FR"/>
        </w:rPr>
        <w:t xml:space="preserve"> ; </w:t>
      </w:r>
    </w:p>
    <w:p w:rsidR="00456846" w:rsidRPr="004E4ED4" w:rsidRDefault="00405C87" w:rsidP="008E069E">
      <w:pPr>
        <w:spacing w:before="120" w:line="360" w:lineRule="auto"/>
        <w:ind w:left="1440"/>
        <w:rPr>
          <w:rFonts w:ascii="Times New Roman" w:hAnsi="Times New Roman"/>
          <w:lang w:val="fr-FR"/>
        </w:rPr>
      </w:pPr>
      <w:r w:rsidRPr="004E4ED4">
        <w:rPr>
          <w:rFonts w:ascii="Times New Roman" w:hAnsi="Times New Roman"/>
          <w:lang w:val="fr-FR"/>
        </w:rPr>
        <w:t xml:space="preserve">Point 25 : dans l’hypothèse d’un </w:t>
      </w:r>
      <w:r w:rsidRPr="004E4ED4">
        <w:rPr>
          <w:rFonts w:ascii="Times New Roman" w:hAnsi="Times New Roman"/>
          <w:b/>
          <w:lang w:val="fr-FR"/>
        </w:rPr>
        <w:t>refus de reconnaissance</w:t>
      </w:r>
      <w:r w:rsidRPr="004E4ED4">
        <w:rPr>
          <w:rFonts w:ascii="Times New Roman" w:hAnsi="Times New Roman"/>
          <w:lang w:val="fr-FR"/>
        </w:rPr>
        <w:t xml:space="preserve">, par (les autorités allemandes) , du nom patronymique tel qu’il a été déterminé et enregistré au Danemark, cet enfant se verra délivrer par lesdites autorités un passeport dans lequel figurera un nom différent de celui qu’il a reçu dans ce dernier État </w:t>
      </w:r>
      <w:r w:rsidR="00456846" w:rsidRPr="004E4ED4">
        <w:rPr>
          <w:rFonts w:ascii="Times New Roman" w:hAnsi="Times New Roman"/>
          <w:lang w:val="fr-FR"/>
        </w:rPr>
        <w:t>membre”.</w:t>
      </w:r>
    </w:p>
    <w:p w:rsidR="00405C87" w:rsidRPr="004E4ED4" w:rsidRDefault="00456846" w:rsidP="008E069E">
      <w:pPr>
        <w:spacing w:before="120" w:line="360" w:lineRule="auto"/>
        <w:ind w:left="1440"/>
        <w:rPr>
          <w:rFonts w:ascii="Times New Roman" w:hAnsi="Times New Roman"/>
          <w:lang w:val="fr-FR"/>
        </w:rPr>
      </w:pPr>
      <w:bookmarkStart w:id="4" w:name="point29"/>
      <w:r w:rsidRPr="004E4ED4">
        <w:rPr>
          <w:rFonts w:ascii="Times New Roman" w:hAnsi="Times New Roman"/>
          <w:lang w:val="fr-FR"/>
        </w:rPr>
        <w:t>29</w:t>
      </w:r>
      <w:bookmarkEnd w:id="4"/>
      <w:r w:rsidRPr="004E4ED4">
        <w:rPr>
          <w:rFonts w:ascii="Times New Roman" w:hAnsi="Times New Roman"/>
          <w:lang w:val="fr-FR"/>
        </w:rPr>
        <w:t>      </w:t>
      </w:r>
      <w:r w:rsidRPr="004E4ED4">
        <w:rPr>
          <w:rFonts w:ascii="Times New Roman" w:hAnsi="Times New Roman"/>
          <w:b/>
          <w:lang w:val="fr-FR"/>
        </w:rPr>
        <w:t>l’entrave</w:t>
      </w:r>
      <w:r w:rsidRPr="004E4ED4">
        <w:rPr>
          <w:rFonts w:ascii="Times New Roman" w:hAnsi="Times New Roman"/>
          <w:lang w:val="fr-FR"/>
        </w:rPr>
        <w:t xml:space="preserve"> à la libre circulation (qui en résulte) “ne pourrait être justifiée que si elle se fondait sur des considérations objectives et était proportionnée à l’objectif légitimement poursuivi”.</w:t>
      </w:r>
    </w:p>
    <w:p w:rsidR="004323D6" w:rsidRPr="004E4ED4" w:rsidRDefault="004323D6" w:rsidP="008E069E">
      <w:pPr>
        <w:spacing w:before="120" w:line="360" w:lineRule="auto"/>
        <w:ind w:left="1440"/>
        <w:rPr>
          <w:rFonts w:ascii="Times New Roman" w:hAnsi="Times New Roman"/>
          <w:lang w:val="fr-FR"/>
        </w:rPr>
      </w:pPr>
    </w:p>
    <w:p w:rsidR="004F48DC" w:rsidRPr="004E4ED4" w:rsidRDefault="00745FDB" w:rsidP="008E069E">
      <w:pPr>
        <w:spacing w:before="120" w:line="360" w:lineRule="auto"/>
        <w:ind w:left="1440"/>
        <w:rPr>
          <w:rFonts w:ascii="Times New Roman" w:hAnsi="Times New Roman"/>
          <w:lang w:val="fr-FR"/>
        </w:rPr>
      </w:pPr>
      <w:r w:rsidRPr="004E4ED4">
        <w:rPr>
          <w:rFonts w:ascii="Times New Roman" w:hAnsi="Times New Roman"/>
          <w:lang w:val="fr-FR"/>
        </w:rPr>
        <w:t xml:space="preserve">CJUE, 22 décembre 2010, </w:t>
      </w:r>
      <w:proofErr w:type="spellStart"/>
      <w:r w:rsidR="00255CDD" w:rsidRPr="004E4ED4">
        <w:rPr>
          <w:rFonts w:ascii="Times New Roman" w:hAnsi="Times New Roman"/>
          <w:b/>
          <w:lang w:val="fr-FR"/>
        </w:rPr>
        <w:t>Sayn-Wittgenstein</w:t>
      </w:r>
      <w:proofErr w:type="spellEnd"/>
      <w:r w:rsidR="00255CDD" w:rsidRPr="004E4ED4">
        <w:rPr>
          <w:rFonts w:ascii="Times New Roman" w:hAnsi="Times New Roman"/>
          <w:lang w:val="fr-FR"/>
        </w:rPr>
        <w:t>,</w:t>
      </w:r>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C-208/09</w:t>
      </w:r>
      <w:r w:rsidR="00CA6B12" w:rsidRPr="004E4ED4">
        <w:rPr>
          <w:rFonts w:ascii="Times New Roman" w:hAnsi="Times New Roman"/>
          <w:lang w:val="fr-FR"/>
        </w:rPr>
        <w:t xml:space="preserve">, Rec. </w:t>
      </w:r>
      <w:r w:rsidR="00CA6B12" w:rsidRPr="004E4ED4">
        <w:rPr>
          <w:rFonts w:ascii="Times New Roman" w:hAnsi="Times New Roman"/>
          <w:lang w:val="fr-LU"/>
        </w:rPr>
        <w:t>2010 I-13693 </w:t>
      </w:r>
      <w:r w:rsidR="00CA6B12" w:rsidRPr="004E4ED4">
        <w:rPr>
          <w:rFonts w:ascii="Times New Roman" w:hAnsi="Times New Roman"/>
          <w:lang w:val="fr-FR"/>
        </w:rPr>
        <w:t>;</w:t>
      </w:r>
    </w:p>
    <w:p w:rsidR="00456846" w:rsidRPr="004E4ED4" w:rsidRDefault="00456846" w:rsidP="008E069E">
      <w:pPr>
        <w:spacing w:before="120" w:line="360" w:lineRule="auto"/>
        <w:ind w:left="1440"/>
        <w:rPr>
          <w:rFonts w:ascii="Times New Roman" w:hAnsi="Times New Roman"/>
          <w:lang w:val="fr-FR"/>
        </w:rPr>
      </w:pPr>
      <w:r w:rsidRPr="004E4ED4">
        <w:rPr>
          <w:rFonts w:ascii="Times New Roman" w:hAnsi="Times New Roman"/>
          <w:lang w:val="fr-FR"/>
        </w:rPr>
        <w:t xml:space="preserve">Point 54 : </w:t>
      </w:r>
      <w:r w:rsidR="00AF75E3" w:rsidRPr="004E4ED4">
        <w:rPr>
          <w:rFonts w:ascii="Times New Roman" w:hAnsi="Times New Roman"/>
          <w:lang w:val="fr-FR"/>
        </w:rPr>
        <w:t>« </w:t>
      </w:r>
      <w:r w:rsidR="00AF75E3" w:rsidRPr="004E4ED4">
        <w:rPr>
          <w:rFonts w:ascii="Times New Roman" w:hAnsi="Times New Roman"/>
          <w:b/>
          <w:lang w:val="fr-FR"/>
        </w:rPr>
        <w:t>le fait</w:t>
      </w:r>
      <w:r w:rsidR="00AF75E3" w:rsidRPr="004E4ED4">
        <w:rPr>
          <w:rFonts w:ascii="Times New Roman" w:hAnsi="Times New Roman"/>
          <w:lang w:val="fr-FR"/>
        </w:rPr>
        <w:t xml:space="preserve">, pour une personne ayant exercé son droit de circuler et de séjourner librement sur le territoire d’un autre État membre, </w:t>
      </w:r>
      <w:r w:rsidR="00AF75E3" w:rsidRPr="004E4ED4">
        <w:rPr>
          <w:rFonts w:ascii="Times New Roman" w:hAnsi="Times New Roman"/>
          <w:b/>
          <w:lang w:val="fr-FR"/>
        </w:rPr>
        <w:t>d’être obligée de porter</w:t>
      </w:r>
      <w:r w:rsidR="00AF75E3" w:rsidRPr="004E4ED4">
        <w:rPr>
          <w:rFonts w:ascii="Times New Roman" w:hAnsi="Times New Roman"/>
          <w:lang w:val="fr-FR"/>
        </w:rPr>
        <w:t xml:space="preserve">, dans l’État membre dont elle possède la nationalité, un </w:t>
      </w:r>
      <w:r w:rsidR="00AF75E3" w:rsidRPr="004E4ED4">
        <w:rPr>
          <w:rFonts w:ascii="Times New Roman" w:hAnsi="Times New Roman"/>
          <w:b/>
          <w:lang w:val="fr-FR"/>
        </w:rPr>
        <w:t>nom différent</w:t>
      </w:r>
      <w:r w:rsidR="00AF75E3" w:rsidRPr="004E4ED4">
        <w:rPr>
          <w:rFonts w:ascii="Times New Roman" w:hAnsi="Times New Roman"/>
          <w:lang w:val="fr-FR"/>
        </w:rPr>
        <w:t xml:space="preserve"> de celui déjà attribué et enregistré dans l’État membre de naissance et de résidence est </w:t>
      </w:r>
      <w:r w:rsidR="00AF75E3" w:rsidRPr="004E4ED4">
        <w:rPr>
          <w:rFonts w:ascii="Times New Roman" w:hAnsi="Times New Roman"/>
          <w:b/>
          <w:lang w:val="fr-FR"/>
        </w:rPr>
        <w:t>susceptible d’entraver</w:t>
      </w:r>
      <w:r w:rsidR="00AF75E3" w:rsidRPr="004E4ED4">
        <w:rPr>
          <w:rFonts w:ascii="Times New Roman" w:hAnsi="Times New Roman"/>
          <w:lang w:val="fr-FR"/>
        </w:rPr>
        <w:t xml:space="preserve"> l’exercice du droit, consacré à l’article 21 TFUE, de circuler et de séjourner librement sur le territoire des États membres”.</w:t>
      </w:r>
    </w:p>
    <w:p w:rsidR="00456846" w:rsidRPr="004E4ED4" w:rsidRDefault="00AF75E3" w:rsidP="008E069E">
      <w:pPr>
        <w:spacing w:before="120" w:line="360" w:lineRule="auto"/>
        <w:ind w:left="1440"/>
        <w:rPr>
          <w:rFonts w:ascii="Times New Roman" w:hAnsi="Times New Roman"/>
          <w:lang w:val="fr-FR"/>
        </w:rPr>
      </w:pPr>
      <w:r w:rsidRPr="004E4ED4">
        <w:rPr>
          <w:rFonts w:ascii="Times New Roman" w:hAnsi="Times New Roman"/>
          <w:lang w:val="fr-FR"/>
        </w:rPr>
        <w:t>Point 83 : « il y a lieu d’admettre que, dans le contexte de l’histoire constitutionnelle autrichienne, la loi d’abolition de la noblesse, en tant qu’élément de l’identité nationale, peut être prise en compte lors de la mise en balance d’intérêts légitimes avec le droit de libre circulation des personnes reconnu par le droit de l’Union”.</w:t>
      </w:r>
    </w:p>
    <w:p w:rsidR="004323D6" w:rsidRPr="004E4ED4" w:rsidRDefault="00456846" w:rsidP="008E069E">
      <w:pPr>
        <w:spacing w:before="120" w:line="360" w:lineRule="auto"/>
        <w:ind w:left="1440"/>
        <w:rPr>
          <w:rFonts w:ascii="Times New Roman" w:hAnsi="Times New Roman"/>
          <w:lang w:val="fr-FR"/>
        </w:rPr>
      </w:pPr>
      <w:r w:rsidRPr="004E4ED4">
        <w:rPr>
          <w:rFonts w:ascii="Times New Roman" w:hAnsi="Times New Roman"/>
          <w:lang w:val="fr-FR"/>
        </w:rPr>
        <w:t xml:space="preserve">- </w:t>
      </w:r>
      <w:r w:rsidR="0058330F" w:rsidRPr="004E4ED4">
        <w:rPr>
          <w:rFonts w:ascii="Times New Roman" w:hAnsi="Times New Roman"/>
          <w:lang w:val="fr-FR"/>
        </w:rPr>
        <w:t>Un statut opposable y</w:t>
      </w:r>
      <w:r w:rsidR="00A42965" w:rsidRPr="004E4ED4">
        <w:rPr>
          <w:rFonts w:ascii="Times New Roman" w:hAnsi="Times New Roman"/>
          <w:lang w:val="fr-FR"/>
        </w:rPr>
        <w:t xml:space="preserve"> compris à l’EM d’origine</w:t>
      </w:r>
      <w:r w:rsidR="00745FDB" w:rsidRPr="004E4ED4">
        <w:rPr>
          <w:rFonts w:ascii="Times New Roman" w:hAnsi="Times New Roman"/>
          <w:lang w:val="fr-FR"/>
        </w:rPr>
        <w:t>.</w:t>
      </w:r>
      <w:r w:rsidR="0058330F" w:rsidRPr="004E4ED4">
        <w:rPr>
          <w:rFonts w:ascii="Times New Roman" w:hAnsi="Times New Roman"/>
          <w:lang w:val="fr-FR"/>
        </w:rPr>
        <w:t xml:space="preserve"> : </w:t>
      </w:r>
    </w:p>
    <w:p w:rsidR="004323D6" w:rsidRPr="004E4ED4" w:rsidRDefault="0058330F" w:rsidP="008E069E">
      <w:pPr>
        <w:spacing w:before="120" w:line="360" w:lineRule="auto"/>
        <w:ind w:left="1440"/>
        <w:rPr>
          <w:rFonts w:ascii="Times New Roman" w:hAnsi="Times New Roman"/>
          <w:lang w:val="en-GB"/>
        </w:rPr>
      </w:pPr>
      <w:proofErr w:type="gramStart"/>
      <w:r w:rsidRPr="004E4ED4">
        <w:rPr>
          <w:rFonts w:ascii="Times New Roman" w:hAnsi="Times New Roman"/>
          <w:lang w:val="en-GB"/>
        </w:rPr>
        <w:t xml:space="preserve">CJUE, 11 </w:t>
      </w:r>
      <w:proofErr w:type="spellStart"/>
      <w:r w:rsidRPr="004E4ED4">
        <w:rPr>
          <w:rFonts w:ascii="Times New Roman" w:hAnsi="Times New Roman"/>
          <w:lang w:val="en-GB"/>
        </w:rPr>
        <w:t>juillet</w:t>
      </w:r>
      <w:proofErr w:type="spellEnd"/>
      <w:r w:rsidRPr="004E4ED4">
        <w:rPr>
          <w:rFonts w:ascii="Times New Roman" w:hAnsi="Times New Roman"/>
          <w:lang w:val="en-GB"/>
        </w:rPr>
        <w:t xml:space="preserve"> 2002, </w:t>
      </w:r>
      <w:proofErr w:type="spellStart"/>
      <w:r w:rsidRPr="004E4ED4">
        <w:rPr>
          <w:rFonts w:ascii="Times New Roman" w:hAnsi="Times New Roman"/>
          <w:b/>
          <w:lang w:val="en-GB"/>
        </w:rPr>
        <w:t>d’Hoop</w:t>
      </w:r>
      <w:proofErr w:type="spellEnd"/>
      <w:r w:rsidRPr="004E4ED4">
        <w:rPr>
          <w:rFonts w:ascii="Times New Roman" w:hAnsi="Times New Roman"/>
          <w:lang w:val="en-GB"/>
        </w:rPr>
        <w:t xml:space="preserve">, </w:t>
      </w:r>
      <w:proofErr w:type="spellStart"/>
      <w:r w:rsidR="00CA6B12" w:rsidRPr="004E4ED4">
        <w:rPr>
          <w:rFonts w:ascii="Times New Roman" w:hAnsi="Times New Roman"/>
          <w:lang w:val="en-GB"/>
        </w:rPr>
        <w:t>aff</w:t>
      </w:r>
      <w:proofErr w:type="spellEnd"/>
      <w:r w:rsidR="00CA6B12" w:rsidRPr="004E4ED4">
        <w:rPr>
          <w:rFonts w:ascii="Times New Roman" w:hAnsi="Times New Roman"/>
          <w:lang w:val="en-GB"/>
        </w:rPr>
        <w:t>.</w:t>
      </w:r>
      <w:proofErr w:type="gramEnd"/>
      <w:r w:rsidR="00CA6B12" w:rsidRPr="004E4ED4">
        <w:rPr>
          <w:rFonts w:ascii="Times New Roman" w:hAnsi="Times New Roman"/>
          <w:lang w:val="en-GB"/>
        </w:rPr>
        <w:t xml:space="preserve"> </w:t>
      </w:r>
      <w:r w:rsidRPr="004E4ED4">
        <w:rPr>
          <w:rFonts w:ascii="Times New Roman" w:hAnsi="Times New Roman"/>
          <w:lang w:val="en-GB"/>
        </w:rPr>
        <w:t>C-224/98</w:t>
      </w:r>
      <w:r w:rsidR="00CA6B12" w:rsidRPr="004E4ED4">
        <w:rPr>
          <w:rFonts w:ascii="Times New Roman" w:hAnsi="Times New Roman"/>
          <w:lang w:val="en-GB"/>
        </w:rPr>
        <w:t xml:space="preserve">, Rec. </w:t>
      </w:r>
      <w:r w:rsidR="00CA6B12" w:rsidRPr="004E4ED4">
        <w:rPr>
          <w:rFonts w:ascii="Times New Roman" w:hAnsi="Times New Roman"/>
        </w:rPr>
        <w:t>2002 I-</w:t>
      </w:r>
      <w:proofErr w:type="gramStart"/>
      <w:r w:rsidR="00CA6B12" w:rsidRPr="004E4ED4">
        <w:rPr>
          <w:rFonts w:ascii="Times New Roman" w:hAnsi="Times New Roman"/>
        </w:rPr>
        <w:t>6191</w:t>
      </w:r>
      <w:r w:rsidR="00BA7134" w:rsidRPr="004E4ED4">
        <w:rPr>
          <w:rFonts w:ascii="Times New Roman" w:hAnsi="Times New Roman"/>
          <w:lang w:val="en-GB"/>
        </w:rPr>
        <w:t> ;</w:t>
      </w:r>
      <w:proofErr w:type="gramEnd"/>
      <w:r w:rsidR="00BA7134" w:rsidRPr="004E4ED4">
        <w:rPr>
          <w:rFonts w:ascii="Times New Roman" w:hAnsi="Times New Roman"/>
          <w:lang w:val="en-GB"/>
        </w:rPr>
        <w:t xml:space="preserve"> </w:t>
      </w:r>
    </w:p>
    <w:p w:rsidR="00297168" w:rsidRPr="004E4ED4" w:rsidRDefault="00BA7134" w:rsidP="008E069E">
      <w:pPr>
        <w:spacing w:before="120" w:line="360" w:lineRule="auto"/>
        <w:ind w:left="1440"/>
        <w:rPr>
          <w:rFonts w:ascii="Times New Roman" w:hAnsi="Times New Roman"/>
          <w:lang w:val="fr-FR"/>
        </w:rPr>
      </w:pPr>
      <w:r w:rsidRPr="004E4ED4">
        <w:rPr>
          <w:rFonts w:ascii="Times New Roman" w:hAnsi="Times New Roman"/>
          <w:lang w:val="fr-FR"/>
        </w:rPr>
        <w:t xml:space="preserve">CJUE, 24 octobre 2013, </w:t>
      </w:r>
      <w:proofErr w:type="spellStart"/>
      <w:r w:rsidRPr="004E4ED4">
        <w:rPr>
          <w:rFonts w:ascii="Times New Roman" w:hAnsi="Times New Roman"/>
          <w:b/>
          <w:lang w:val="fr-FR"/>
        </w:rPr>
        <w:t>Thiele</w:t>
      </w:r>
      <w:proofErr w:type="spellEnd"/>
      <w:r w:rsidRPr="004E4ED4">
        <w:rPr>
          <w:rFonts w:ascii="Times New Roman" w:hAnsi="Times New Roman"/>
          <w:b/>
          <w:lang w:val="fr-FR"/>
        </w:rPr>
        <w:t xml:space="preserve"> </w:t>
      </w:r>
      <w:proofErr w:type="spellStart"/>
      <w:r w:rsidRPr="004E4ED4">
        <w:rPr>
          <w:rFonts w:ascii="Times New Roman" w:hAnsi="Times New Roman"/>
          <w:b/>
          <w:lang w:val="fr-FR"/>
        </w:rPr>
        <w:t>Meneses</w:t>
      </w:r>
      <w:proofErr w:type="spellEnd"/>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C-220/12,</w:t>
      </w:r>
      <w:r w:rsidR="00CA6B12" w:rsidRPr="004E4ED4">
        <w:rPr>
          <w:rFonts w:ascii="Times New Roman" w:hAnsi="Times New Roman"/>
          <w:lang w:val="fr-LU"/>
        </w:rPr>
        <w:t xml:space="preserve"> non encore publié,</w:t>
      </w:r>
      <w:r w:rsidRPr="004E4ED4">
        <w:rPr>
          <w:rFonts w:ascii="Times New Roman" w:hAnsi="Times New Roman"/>
          <w:lang w:val="fr-FR"/>
        </w:rPr>
        <w:t xml:space="preserve"> </w:t>
      </w:r>
      <w:r w:rsidR="00CA6B12" w:rsidRPr="004E4ED4">
        <w:rPr>
          <w:rFonts w:ascii="Times New Roman" w:hAnsi="Times New Roman"/>
          <w:lang w:val="fr-FR"/>
        </w:rPr>
        <w:t>P</w:t>
      </w:r>
      <w:r w:rsidRPr="004E4ED4">
        <w:rPr>
          <w:rFonts w:ascii="Times New Roman" w:hAnsi="Times New Roman"/>
          <w:lang w:val="fr-FR"/>
        </w:rPr>
        <w:t>oint 18.</w:t>
      </w:r>
    </w:p>
    <w:p w:rsidR="00464F7E" w:rsidRPr="004E4ED4" w:rsidRDefault="00464F7E" w:rsidP="008E069E">
      <w:pPr>
        <w:spacing w:before="120" w:line="360" w:lineRule="auto"/>
        <w:ind w:left="1440"/>
        <w:rPr>
          <w:rFonts w:ascii="Times New Roman" w:hAnsi="Times New Roman"/>
          <w:lang w:val="fr-FR"/>
        </w:rPr>
      </w:pPr>
    </w:p>
    <w:p w:rsidR="00A35B52" w:rsidRPr="004E4ED4" w:rsidRDefault="00A35B52" w:rsidP="008E069E">
      <w:pPr>
        <w:pStyle w:val="Heading4"/>
        <w:spacing w:before="120" w:line="360" w:lineRule="auto"/>
        <w:ind w:left="720" w:firstLine="720"/>
        <w:rPr>
          <w:rFonts w:ascii="Times New Roman" w:hAnsi="Times New Roman"/>
          <w:color w:val="auto"/>
          <w:lang w:val="fr-FR"/>
        </w:rPr>
      </w:pPr>
      <w:r w:rsidRPr="004E4ED4">
        <w:rPr>
          <w:rFonts w:ascii="Times New Roman" w:hAnsi="Times New Roman"/>
          <w:color w:val="auto"/>
          <w:lang w:val="fr-FR"/>
        </w:rPr>
        <w:t xml:space="preserve">L’interdiction des </w:t>
      </w:r>
      <w:r w:rsidR="00464F7E" w:rsidRPr="004E4ED4">
        <w:rPr>
          <w:rFonts w:ascii="Times New Roman" w:hAnsi="Times New Roman"/>
          <w:color w:val="auto"/>
          <w:lang w:val="fr-FR"/>
        </w:rPr>
        <w:t>discrimination</w:t>
      </w:r>
      <w:r w:rsidR="00E66190" w:rsidRPr="004E4ED4">
        <w:rPr>
          <w:rFonts w:ascii="Times New Roman" w:hAnsi="Times New Roman"/>
          <w:color w:val="auto"/>
          <w:lang w:val="fr-FR"/>
        </w:rPr>
        <w:t>s</w:t>
      </w:r>
    </w:p>
    <w:p w:rsidR="004B6524" w:rsidRPr="004E4ED4" w:rsidRDefault="004B6524" w:rsidP="008E069E">
      <w:pPr>
        <w:spacing w:before="120" w:line="360" w:lineRule="auto"/>
        <w:ind w:left="1440"/>
        <w:rPr>
          <w:rFonts w:ascii="Times New Roman" w:hAnsi="Times New Roman"/>
          <w:lang w:val="fr-FR"/>
        </w:rPr>
      </w:pPr>
      <w:r w:rsidRPr="004E4ED4">
        <w:rPr>
          <w:rFonts w:ascii="Times New Roman" w:hAnsi="Times New Roman"/>
          <w:lang w:val="fr-FR"/>
        </w:rPr>
        <w:t>= un principe fondamental ! Cela signifie pour le juge nationale qu’il est donc d’interprétation large, les exceptions étant d’interprétation stricte.</w:t>
      </w:r>
    </w:p>
    <w:p w:rsidR="00AF34C9" w:rsidRPr="004E4ED4" w:rsidRDefault="00AF34C9" w:rsidP="008E069E">
      <w:pPr>
        <w:spacing w:before="120" w:line="360" w:lineRule="auto"/>
        <w:rPr>
          <w:rFonts w:ascii="Times New Roman" w:hAnsi="Times New Roman"/>
          <w:lang w:val="fr-FR"/>
        </w:rPr>
      </w:pPr>
    </w:p>
    <w:p w:rsidR="0060222E" w:rsidRPr="004E4ED4" w:rsidRDefault="00DE56B5" w:rsidP="008E069E">
      <w:pPr>
        <w:spacing w:before="120" w:line="360" w:lineRule="auto"/>
        <w:ind w:left="1440"/>
        <w:rPr>
          <w:rFonts w:ascii="Times New Roman" w:hAnsi="Times New Roman"/>
          <w:lang w:val="fr-FR"/>
        </w:rPr>
      </w:pPr>
      <w:r w:rsidRPr="004E4ED4">
        <w:rPr>
          <w:rFonts w:ascii="Times New Roman" w:hAnsi="Times New Roman"/>
          <w:lang w:val="fr-FR"/>
        </w:rPr>
        <w:t>Par exemple la</w:t>
      </w:r>
      <w:r w:rsidR="00AF34C9" w:rsidRPr="004E4ED4">
        <w:rPr>
          <w:rFonts w:ascii="Times New Roman" w:hAnsi="Times New Roman"/>
          <w:lang w:val="fr-FR"/>
        </w:rPr>
        <w:t xml:space="preserve"> dérogation </w:t>
      </w:r>
      <w:r w:rsidR="00AA37B7" w:rsidRPr="004E4ED4">
        <w:rPr>
          <w:rFonts w:ascii="Times New Roman" w:hAnsi="Times New Roman"/>
          <w:lang w:val="fr-FR"/>
        </w:rPr>
        <w:t xml:space="preserve">au principe d’égalité de traitement dont bénéficient les citoyens (non économiquement actifs) </w:t>
      </w:r>
      <w:r w:rsidR="00AF34C9" w:rsidRPr="004E4ED4">
        <w:rPr>
          <w:rFonts w:ascii="Times New Roman" w:hAnsi="Times New Roman"/>
          <w:lang w:val="fr-FR"/>
        </w:rPr>
        <w:t>à l’article 24 par.2 de la directive 2004/38</w:t>
      </w:r>
      <w:r w:rsidR="00AA37B7" w:rsidRPr="004E4ED4">
        <w:rPr>
          <w:rFonts w:ascii="Times New Roman" w:hAnsi="Times New Roman"/>
          <w:lang w:val="fr-FR"/>
        </w:rPr>
        <w:t xml:space="preserve"> (CJUE, </w:t>
      </w:r>
      <w:r w:rsidRPr="004E4ED4">
        <w:rPr>
          <w:rFonts w:ascii="Times New Roman" w:hAnsi="Times New Roman"/>
          <w:lang w:val="fr-FR"/>
        </w:rPr>
        <w:t>19</w:t>
      </w:r>
      <w:r w:rsidR="00CA6B12" w:rsidRPr="004E4ED4">
        <w:rPr>
          <w:rFonts w:ascii="Times New Roman" w:hAnsi="Times New Roman"/>
          <w:lang w:val="fr-FR"/>
        </w:rPr>
        <w:t xml:space="preserve"> </w:t>
      </w:r>
      <w:proofErr w:type="spellStart"/>
      <w:r w:rsidR="00CA6B12" w:rsidRPr="004E4ED4">
        <w:rPr>
          <w:rFonts w:ascii="Times New Roman" w:hAnsi="Times New Roman"/>
          <w:lang w:val="fr-FR"/>
        </w:rPr>
        <w:t>séptembre</w:t>
      </w:r>
      <w:proofErr w:type="spellEnd"/>
      <w:r w:rsidR="00CA6B12" w:rsidRPr="004E4ED4">
        <w:rPr>
          <w:rFonts w:ascii="Times New Roman" w:hAnsi="Times New Roman"/>
          <w:lang w:val="fr-FR"/>
        </w:rPr>
        <w:t xml:space="preserve"> </w:t>
      </w:r>
      <w:r w:rsidRPr="004E4ED4">
        <w:rPr>
          <w:rFonts w:ascii="Times New Roman" w:hAnsi="Times New Roman"/>
          <w:lang w:val="fr-FR"/>
        </w:rPr>
        <w:t>2013,</w:t>
      </w:r>
      <w:r w:rsidR="00D92C7D" w:rsidRPr="004E4ED4">
        <w:rPr>
          <w:rFonts w:ascii="Times New Roman" w:hAnsi="Times New Roman"/>
          <w:lang w:val="fr-FR"/>
        </w:rPr>
        <w:t xml:space="preserve"> </w:t>
      </w:r>
      <w:proofErr w:type="spellStart"/>
      <w:r w:rsidR="00AA37B7" w:rsidRPr="004E4ED4">
        <w:rPr>
          <w:rFonts w:ascii="Times New Roman" w:hAnsi="Times New Roman"/>
          <w:b/>
          <w:lang w:val="fr-FR"/>
        </w:rPr>
        <w:t>Brey</w:t>
      </w:r>
      <w:proofErr w:type="spellEnd"/>
      <w:r w:rsidR="00AA37B7" w:rsidRPr="004E4ED4">
        <w:rPr>
          <w:rFonts w:ascii="Times New Roman" w:hAnsi="Times New Roman"/>
          <w:lang w:val="fr-FR"/>
        </w:rPr>
        <w:t>,</w:t>
      </w:r>
      <w:r w:rsidR="00CA6B12" w:rsidRPr="004E4ED4">
        <w:rPr>
          <w:rFonts w:ascii="Times New Roman" w:hAnsi="Times New Roman"/>
          <w:lang w:val="fr-FR"/>
        </w:rPr>
        <w:t xml:space="preserve"> </w:t>
      </w:r>
      <w:proofErr w:type="spellStart"/>
      <w:r w:rsidR="00CA6B12" w:rsidRPr="004E4ED4">
        <w:rPr>
          <w:rFonts w:ascii="Times New Roman" w:hAnsi="Times New Roman"/>
          <w:lang w:val="fr-FR"/>
        </w:rPr>
        <w:t>aff</w:t>
      </w:r>
      <w:proofErr w:type="spellEnd"/>
      <w:r w:rsidR="00CA6B12" w:rsidRPr="004E4ED4">
        <w:rPr>
          <w:rFonts w:ascii="Times New Roman" w:hAnsi="Times New Roman"/>
          <w:lang w:val="fr-FR"/>
        </w:rPr>
        <w:t xml:space="preserve">. </w:t>
      </w:r>
      <w:r w:rsidR="00CA6B12" w:rsidRPr="004E4ED4">
        <w:rPr>
          <w:rFonts w:ascii="Times New Roman" w:hAnsi="Times New Roman"/>
          <w:lang w:val="fr-LU"/>
        </w:rPr>
        <w:t>C-140/12, non encore publié,</w:t>
      </w:r>
      <w:r w:rsidR="00AA37B7" w:rsidRPr="004E4ED4">
        <w:rPr>
          <w:rFonts w:ascii="Times New Roman" w:hAnsi="Times New Roman"/>
          <w:lang w:val="fr-FR"/>
        </w:rPr>
        <w:t xml:space="preserve"> </w:t>
      </w:r>
      <w:r w:rsidR="00CA6B12" w:rsidRPr="004E4ED4">
        <w:rPr>
          <w:rFonts w:ascii="Times New Roman" w:hAnsi="Times New Roman"/>
          <w:lang w:val="fr-FR"/>
        </w:rPr>
        <w:t>P</w:t>
      </w:r>
      <w:r w:rsidR="00AA37B7" w:rsidRPr="004E4ED4">
        <w:rPr>
          <w:rFonts w:ascii="Times New Roman" w:hAnsi="Times New Roman"/>
          <w:lang w:val="fr-FR"/>
        </w:rPr>
        <w:t>oint 56)</w:t>
      </w:r>
    </w:p>
    <w:p w:rsidR="00A35B52" w:rsidRPr="004E4ED4" w:rsidRDefault="00A35B52" w:rsidP="008E069E">
      <w:pPr>
        <w:spacing w:before="120" w:line="360" w:lineRule="auto"/>
        <w:ind w:left="1440"/>
        <w:rPr>
          <w:rFonts w:ascii="Times New Roman" w:hAnsi="Times New Roman"/>
          <w:lang w:val="fr-FR"/>
        </w:rPr>
      </w:pPr>
    </w:p>
    <w:p w:rsidR="007530BA" w:rsidRPr="004E4ED4" w:rsidRDefault="00A35B52" w:rsidP="008E069E">
      <w:pPr>
        <w:pStyle w:val="Heading4"/>
        <w:spacing w:before="120" w:line="360" w:lineRule="auto"/>
        <w:ind w:left="1440"/>
        <w:rPr>
          <w:rFonts w:ascii="Times New Roman" w:hAnsi="Times New Roman"/>
          <w:color w:val="auto"/>
          <w:lang w:val="fr-FR"/>
        </w:rPr>
      </w:pPr>
      <w:r w:rsidRPr="004E4ED4">
        <w:rPr>
          <w:rFonts w:ascii="Times New Roman" w:hAnsi="Times New Roman"/>
          <w:color w:val="auto"/>
          <w:lang w:val="fr-FR"/>
        </w:rPr>
        <w:t>La</w:t>
      </w:r>
      <w:r w:rsidR="00255CDD" w:rsidRPr="004E4ED4">
        <w:rPr>
          <w:rFonts w:ascii="Times New Roman" w:hAnsi="Times New Roman"/>
          <w:color w:val="auto"/>
          <w:lang w:val="fr-FR"/>
        </w:rPr>
        <w:t xml:space="preserve"> condition de la</w:t>
      </w:r>
      <w:r w:rsidRPr="004E4ED4">
        <w:rPr>
          <w:rFonts w:ascii="Times New Roman" w:hAnsi="Times New Roman"/>
          <w:color w:val="auto"/>
          <w:lang w:val="fr-FR"/>
        </w:rPr>
        <w:t xml:space="preserve"> j</w:t>
      </w:r>
      <w:r w:rsidR="007530BA" w:rsidRPr="004E4ED4">
        <w:rPr>
          <w:rFonts w:ascii="Times New Roman" w:hAnsi="Times New Roman"/>
          <w:color w:val="auto"/>
          <w:lang w:val="fr-FR"/>
        </w:rPr>
        <w:t>ouissance effective de l’essentiel des droits</w:t>
      </w:r>
      <w:r w:rsidR="00255CDD" w:rsidRPr="004E4ED4">
        <w:rPr>
          <w:rFonts w:ascii="Times New Roman" w:hAnsi="Times New Roman"/>
          <w:color w:val="auto"/>
          <w:lang w:val="fr-FR"/>
        </w:rPr>
        <w:t> :</w:t>
      </w:r>
      <w:r w:rsidR="00284428" w:rsidRPr="004E4ED4">
        <w:rPr>
          <w:rFonts w:ascii="Times New Roman" w:hAnsi="Times New Roman"/>
          <w:color w:val="auto"/>
          <w:lang w:val="fr-FR"/>
        </w:rPr>
        <w:t xml:space="preserve"> </w:t>
      </w:r>
      <w:r w:rsidR="00255CDD" w:rsidRPr="004E4ED4">
        <w:rPr>
          <w:rFonts w:ascii="Times New Roman" w:hAnsi="Times New Roman"/>
          <w:color w:val="auto"/>
          <w:lang w:val="fr-FR"/>
        </w:rPr>
        <w:t>l’</w:t>
      </w:r>
      <w:r w:rsidR="00284428" w:rsidRPr="004E4ED4">
        <w:rPr>
          <w:rFonts w:ascii="Times New Roman" w:hAnsi="Times New Roman"/>
          <w:color w:val="auto"/>
          <w:lang w:val="fr-FR"/>
        </w:rPr>
        <w:t>effet ut</w:t>
      </w:r>
      <w:r w:rsidR="00255CDD" w:rsidRPr="004E4ED4">
        <w:rPr>
          <w:rFonts w:ascii="Times New Roman" w:hAnsi="Times New Roman"/>
          <w:color w:val="auto"/>
          <w:lang w:val="fr-FR"/>
        </w:rPr>
        <w:t>ile de la citoyenneté</w:t>
      </w:r>
    </w:p>
    <w:p w:rsidR="00255CDD" w:rsidRPr="004E4ED4" w:rsidRDefault="00255CDD" w:rsidP="008E069E">
      <w:pPr>
        <w:spacing w:before="120" w:line="360" w:lineRule="auto"/>
        <w:ind w:left="2160"/>
        <w:rPr>
          <w:rFonts w:ascii="Times New Roman" w:hAnsi="Times New Roman"/>
          <w:lang w:val="fr-FR"/>
        </w:rPr>
      </w:pPr>
      <w:r w:rsidRPr="004E4ED4">
        <w:rPr>
          <w:rFonts w:ascii="Times New Roman" w:hAnsi="Times New Roman"/>
          <w:lang w:val="fr-FR"/>
        </w:rPr>
        <w:t xml:space="preserve">Les arrêts </w:t>
      </w:r>
      <w:r w:rsidR="0008301F" w:rsidRPr="004E4ED4">
        <w:rPr>
          <w:rFonts w:ascii="Times New Roman" w:hAnsi="Times New Roman"/>
          <w:lang w:val="fr-FR"/>
        </w:rPr>
        <w:t>CJUE, 8 mars 2011,</w:t>
      </w:r>
      <w:r w:rsidR="00BA7134" w:rsidRPr="004E4ED4">
        <w:rPr>
          <w:rFonts w:ascii="Times New Roman" w:hAnsi="Times New Roman"/>
          <w:lang w:val="fr-FR"/>
        </w:rPr>
        <w:t xml:space="preserve"> </w:t>
      </w:r>
      <w:proofErr w:type="spellStart"/>
      <w:r w:rsidRPr="004E4ED4">
        <w:rPr>
          <w:rFonts w:ascii="Times New Roman" w:hAnsi="Times New Roman"/>
          <w:b/>
          <w:lang w:val="fr-FR"/>
        </w:rPr>
        <w:t>Zambrano</w:t>
      </w:r>
      <w:proofErr w:type="spellEnd"/>
      <w:r w:rsidRPr="004E4ED4">
        <w:rPr>
          <w:rFonts w:ascii="Times New Roman" w:hAnsi="Times New Roman"/>
          <w:lang w:val="fr-FR"/>
        </w:rPr>
        <w:t xml:space="preserve">, </w:t>
      </w:r>
      <w:proofErr w:type="spellStart"/>
      <w:r w:rsidR="0008301F" w:rsidRPr="004E4ED4">
        <w:rPr>
          <w:rFonts w:ascii="Times New Roman" w:hAnsi="Times New Roman"/>
          <w:lang w:val="fr-FR"/>
        </w:rPr>
        <w:t>aff</w:t>
      </w:r>
      <w:proofErr w:type="spellEnd"/>
      <w:r w:rsidR="0008301F" w:rsidRPr="004E4ED4">
        <w:rPr>
          <w:rFonts w:ascii="Times New Roman" w:hAnsi="Times New Roman"/>
          <w:lang w:val="fr-FR"/>
        </w:rPr>
        <w:t>. C-34/09</w:t>
      </w:r>
      <w:r w:rsidR="00CA6B12" w:rsidRPr="004E4ED4">
        <w:rPr>
          <w:rFonts w:ascii="Times New Roman" w:hAnsi="Times New Roman"/>
          <w:lang w:val="fr-FR"/>
        </w:rPr>
        <w:t xml:space="preserve">, Rec. </w:t>
      </w:r>
      <w:r w:rsidR="00CA6B12" w:rsidRPr="004E4ED4">
        <w:rPr>
          <w:rFonts w:ascii="Times New Roman" w:hAnsi="Times New Roman"/>
          <w:lang w:val="fr-LU"/>
        </w:rPr>
        <w:t>2011 I-1177</w:t>
      </w:r>
      <w:r w:rsidR="0008301F" w:rsidRPr="004E4ED4">
        <w:rPr>
          <w:rFonts w:ascii="Times New Roman" w:hAnsi="Times New Roman"/>
          <w:lang w:val="fr-FR"/>
        </w:rPr>
        <w:t xml:space="preserve"> ; CJUE, 5 mai 2011, </w:t>
      </w:r>
      <w:r w:rsidRPr="004E4ED4">
        <w:rPr>
          <w:rFonts w:ascii="Times New Roman" w:hAnsi="Times New Roman"/>
          <w:b/>
          <w:lang w:val="fr-FR"/>
        </w:rPr>
        <w:t>McCarthy</w:t>
      </w:r>
      <w:r w:rsidRPr="004E4ED4">
        <w:rPr>
          <w:rFonts w:ascii="Times New Roman" w:hAnsi="Times New Roman"/>
          <w:lang w:val="fr-FR"/>
        </w:rPr>
        <w:t xml:space="preserve">, </w:t>
      </w:r>
      <w:proofErr w:type="spellStart"/>
      <w:r w:rsidR="0008301F" w:rsidRPr="004E4ED4">
        <w:rPr>
          <w:rFonts w:ascii="Times New Roman" w:hAnsi="Times New Roman"/>
          <w:lang w:val="fr-FR"/>
        </w:rPr>
        <w:t>aff</w:t>
      </w:r>
      <w:proofErr w:type="spellEnd"/>
      <w:r w:rsidR="0008301F" w:rsidRPr="004E4ED4">
        <w:rPr>
          <w:rFonts w:ascii="Times New Roman" w:hAnsi="Times New Roman"/>
          <w:lang w:val="fr-FR"/>
        </w:rPr>
        <w:t>. C-434/09</w:t>
      </w:r>
      <w:r w:rsidR="00CA6B12" w:rsidRPr="004E4ED4">
        <w:rPr>
          <w:rFonts w:ascii="Times New Roman" w:hAnsi="Times New Roman"/>
          <w:lang w:val="fr-FR"/>
        </w:rPr>
        <w:t xml:space="preserve">, Rec. </w:t>
      </w:r>
      <w:r w:rsidR="00CA6B12" w:rsidRPr="004E4ED4">
        <w:rPr>
          <w:rFonts w:ascii="Times New Roman" w:hAnsi="Times New Roman"/>
          <w:lang w:val="fr-LU"/>
        </w:rPr>
        <w:t>2011 I-03375</w:t>
      </w:r>
      <w:r w:rsidR="0008301F" w:rsidRPr="004E4ED4">
        <w:rPr>
          <w:rFonts w:ascii="Times New Roman" w:hAnsi="Times New Roman"/>
          <w:lang w:val="fr-FR"/>
        </w:rPr>
        <w:t xml:space="preserve"> et CJUE, 15 novembre 2011, </w:t>
      </w:r>
      <w:proofErr w:type="spellStart"/>
      <w:r w:rsidR="0008301F" w:rsidRPr="004E4ED4">
        <w:rPr>
          <w:rFonts w:ascii="Times New Roman" w:hAnsi="Times New Roman"/>
          <w:b/>
          <w:lang w:val="fr-FR"/>
        </w:rPr>
        <w:t>Dereci</w:t>
      </w:r>
      <w:proofErr w:type="spellEnd"/>
      <w:r w:rsidR="0008301F" w:rsidRPr="004E4ED4">
        <w:rPr>
          <w:rFonts w:ascii="Times New Roman" w:hAnsi="Times New Roman"/>
          <w:lang w:val="fr-FR"/>
        </w:rPr>
        <w:t xml:space="preserve">, </w:t>
      </w:r>
      <w:proofErr w:type="spellStart"/>
      <w:r w:rsidR="0008301F" w:rsidRPr="004E4ED4">
        <w:rPr>
          <w:rFonts w:ascii="Times New Roman" w:hAnsi="Times New Roman"/>
          <w:lang w:val="fr-FR"/>
        </w:rPr>
        <w:t>aff</w:t>
      </w:r>
      <w:proofErr w:type="spellEnd"/>
      <w:r w:rsidR="0008301F" w:rsidRPr="004E4ED4">
        <w:rPr>
          <w:rFonts w:ascii="Times New Roman" w:hAnsi="Times New Roman"/>
          <w:lang w:val="fr-FR"/>
        </w:rPr>
        <w:t>. C-256/11</w:t>
      </w:r>
      <w:r w:rsidR="00CA6B12" w:rsidRPr="004E4ED4">
        <w:rPr>
          <w:rFonts w:ascii="Times New Roman" w:hAnsi="Times New Roman"/>
          <w:lang w:val="fr-FR"/>
        </w:rPr>
        <w:t xml:space="preserve">, Rec. </w:t>
      </w:r>
      <w:r w:rsidR="00CA6B12" w:rsidRPr="004E4ED4">
        <w:rPr>
          <w:rFonts w:ascii="Times New Roman" w:hAnsi="Times New Roman"/>
        </w:rPr>
        <w:t>2011 I-11315</w:t>
      </w:r>
      <w:r w:rsidR="0008301F" w:rsidRPr="004E4ED4">
        <w:rPr>
          <w:rFonts w:ascii="Times New Roman" w:hAnsi="Times New Roman"/>
          <w:lang w:val="fr-FR"/>
        </w:rPr>
        <w:t>.</w:t>
      </w:r>
    </w:p>
    <w:p w:rsidR="00D65B46" w:rsidRPr="004E4ED4" w:rsidRDefault="00D65B46" w:rsidP="008E069E">
      <w:pPr>
        <w:spacing w:before="120" w:line="360" w:lineRule="auto"/>
        <w:rPr>
          <w:rFonts w:ascii="Times New Roman" w:hAnsi="Times New Roman"/>
          <w:lang w:val="fr-FR"/>
        </w:rPr>
      </w:pPr>
    </w:p>
    <w:p w:rsidR="00B31356" w:rsidRPr="004E4ED4" w:rsidRDefault="00015BE1" w:rsidP="008E069E">
      <w:pPr>
        <w:pStyle w:val="Heading2"/>
        <w:spacing w:before="120" w:line="360" w:lineRule="auto"/>
        <w:rPr>
          <w:rFonts w:ascii="Times New Roman" w:hAnsi="Times New Roman"/>
          <w:color w:val="auto"/>
          <w:sz w:val="24"/>
          <w:lang w:val="fr-FR"/>
        </w:rPr>
      </w:pPr>
      <w:r w:rsidRPr="004E4ED4">
        <w:rPr>
          <w:rFonts w:ascii="Times New Roman" w:hAnsi="Times New Roman"/>
          <w:color w:val="auto"/>
          <w:sz w:val="24"/>
          <w:lang w:val="fr-FR"/>
        </w:rPr>
        <w:t>B. La marge de manœuvre résiduelle des Etats membres</w:t>
      </w:r>
    </w:p>
    <w:p w:rsidR="00B31356" w:rsidRPr="004E4ED4" w:rsidRDefault="00B31356" w:rsidP="008E069E">
      <w:pPr>
        <w:spacing w:before="120" w:line="360" w:lineRule="auto"/>
        <w:rPr>
          <w:rFonts w:ascii="Times New Roman" w:hAnsi="Times New Roman"/>
          <w:lang w:val="fr-FR"/>
        </w:rPr>
      </w:pPr>
    </w:p>
    <w:p w:rsidR="004F48DC" w:rsidRPr="004E4ED4" w:rsidRDefault="00163B8D" w:rsidP="008E069E">
      <w:pPr>
        <w:pStyle w:val="Heading3"/>
        <w:spacing w:before="120" w:line="360" w:lineRule="auto"/>
        <w:ind w:firstLine="720"/>
        <w:rPr>
          <w:rFonts w:ascii="Times New Roman" w:hAnsi="Times New Roman"/>
          <w:color w:val="auto"/>
          <w:lang w:val="fr-FR"/>
        </w:rPr>
      </w:pPr>
      <w:r w:rsidRPr="004E4ED4">
        <w:rPr>
          <w:rFonts w:ascii="Times New Roman" w:hAnsi="Times New Roman"/>
          <w:color w:val="auto"/>
          <w:lang w:val="fr-FR"/>
        </w:rPr>
        <w:t xml:space="preserve">1. </w:t>
      </w:r>
      <w:r w:rsidR="00015BE1" w:rsidRPr="004E4ED4">
        <w:rPr>
          <w:rFonts w:ascii="Times New Roman" w:hAnsi="Times New Roman"/>
          <w:color w:val="auto"/>
          <w:lang w:val="fr-FR"/>
        </w:rPr>
        <w:t xml:space="preserve">La justification des </w:t>
      </w:r>
      <w:r w:rsidR="007C150A" w:rsidRPr="004E4ED4">
        <w:rPr>
          <w:rFonts w:ascii="Times New Roman" w:hAnsi="Times New Roman"/>
          <w:color w:val="auto"/>
          <w:lang w:val="fr-FR"/>
        </w:rPr>
        <w:t>entraves</w:t>
      </w:r>
      <w:r w:rsidR="004F48DC" w:rsidRPr="004E4ED4">
        <w:rPr>
          <w:rFonts w:ascii="Times New Roman" w:hAnsi="Times New Roman"/>
          <w:color w:val="auto"/>
          <w:lang w:val="fr-FR"/>
        </w:rPr>
        <w:t xml:space="preserve"> à la LC des citoyens de l’Union </w:t>
      </w:r>
    </w:p>
    <w:p w:rsidR="00255CDD" w:rsidRPr="004E4ED4" w:rsidRDefault="000529E1" w:rsidP="008E069E">
      <w:pPr>
        <w:spacing w:before="120" w:line="360" w:lineRule="auto"/>
        <w:rPr>
          <w:rFonts w:ascii="Times New Roman" w:hAnsi="Times New Roman"/>
          <w:lang w:val="fr-FR"/>
        </w:rPr>
      </w:pPr>
      <w:r w:rsidRPr="004E4ED4">
        <w:rPr>
          <w:rFonts w:ascii="Times New Roman" w:hAnsi="Times New Roman"/>
          <w:lang w:val="fr-FR"/>
        </w:rPr>
        <w:t xml:space="preserve"> </w:t>
      </w:r>
      <w:r w:rsidR="00255CDD" w:rsidRPr="004E4ED4">
        <w:rPr>
          <w:rFonts w:ascii="Times New Roman" w:hAnsi="Times New Roman"/>
          <w:lang w:val="fr-FR"/>
        </w:rPr>
        <w:tab/>
      </w:r>
    </w:p>
    <w:p w:rsidR="00582755" w:rsidRPr="004E4ED4" w:rsidRDefault="0008301F" w:rsidP="008E069E">
      <w:pPr>
        <w:spacing w:before="120" w:line="360" w:lineRule="auto"/>
        <w:ind w:firstLine="720"/>
        <w:rPr>
          <w:rFonts w:ascii="Times New Roman" w:hAnsi="Times New Roman"/>
          <w:lang w:val="fr-FR"/>
        </w:rPr>
      </w:pPr>
      <w:r w:rsidRPr="004E4ED4">
        <w:rPr>
          <w:rFonts w:ascii="Times New Roman" w:hAnsi="Times New Roman"/>
          <w:lang w:val="fr-FR"/>
        </w:rPr>
        <w:t xml:space="preserve">CJUE, 24 octobre 2013, </w:t>
      </w:r>
      <w:proofErr w:type="spellStart"/>
      <w:r w:rsidR="000529E1" w:rsidRPr="004E4ED4">
        <w:rPr>
          <w:rFonts w:ascii="Times New Roman" w:hAnsi="Times New Roman"/>
          <w:b/>
          <w:lang w:val="fr-FR"/>
        </w:rPr>
        <w:t>Elrick</w:t>
      </w:r>
      <w:proofErr w:type="spellEnd"/>
      <w:r w:rsidR="000529E1"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C-275/12,</w:t>
      </w:r>
      <w:r w:rsidR="00CA6B12" w:rsidRPr="004E4ED4">
        <w:rPr>
          <w:rFonts w:ascii="Times New Roman" w:hAnsi="Times New Roman"/>
          <w:lang w:val="fr-LU"/>
        </w:rPr>
        <w:t xml:space="preserve"> non encore publié,</w:t>
      </w:r>
      <w:r w:rsidRPr="004E4ED4">
        <w:rPr>
          <w:rFonts w:ascii="Times New Roman" w:hAnsi="Times New Roman"/>
          <w:lang w:val="fr-FR"/>
        </w:rPr>
        <w:t xml:space="preserve"> </w:t>
      </w:r>
      <w:r w:rsidR="0060222E" w:rsidRPr="004E4ED4">
        <w:rPr>
          <w:rFonts w:ascii="Times New Roman" w:hAnsi="Times New Roman"/>
          <w:lang w:val="fr-FR"/>
        </w:rPr>
        <w:t>point 29</w:t>
      </w:r>
      <w:r w:rsidR="00582755" w:rsidRPr="004E4ED4">
        <w:rPr>
          <w:rFonts w:ascii="Times New Roman" w:hAnsi="Times New Roman"/>
          <w:lang w:val="fr-FR"/>
        </w:rPr>
        <w:t xml:space="preserve"> </w:t>
      </w:r>
      <w:proofErr w:type="spellStart"/>
      <w:r w:rsidR="00582755" w:rsidRPr="004E4ED4">
        <w:rPr>
          <w:rFonts w:ascii="Times New Roman" w:hAnsi="Times New Roman"/>
          <w:lang w:val="fr-FR"/>
        </w:rPr>
        <w:t>ss</w:t>
      </w:r>
      <w:proofErr w:type="spellEnd"/>
      <w:r w:rsidR="00582755" w:rsidRPr="004E4ED4">
        <w:rPr>
          <w:rFonts w:ascii="Times New Roman" w:hAnsi="Times New Roman"/>
          <w:lang w:val="fr-FR"/>
        </w:rPr>
        <w:t>.</w:t>
      </w:r>
    </w:p>
    <w:p w:rsidR="00C47689" w:rsidRPr="004E4ED4" w:rsidRDefault="0060222E" w:rsidP="008E069E">
      <w:pPr>
        <w:spacing w:before="120" w:line="360" w:lineRule="auto"/>
        <w:ind w:left="1440"/>
        <w:rPr>
          <w:rFonts w:ascii="Times New Roman" w:hAnsi="Times New Roman"/>
          <w:lang w:val="fr-FR"/>
        </w:rPr>
      </w:pPr>
      <w:r w:rsidRPr="004E4ED4">
        <w:rPr>
          <w:rFonts w:ascii="Times New Roman" w:hAnsi="Times New Roman"/>
          <w:lang w:val="fr-FR"/>
        </w:rPr>
        <w:t xml:space="preserve">Condition d’équivalence </w:t>
      </w:r>
      <w:r w:rsidR="00C47689" w:rsidRPr="004E4ED4">
        <w:rPr>
          <w:rFonts w:ascii="Times New Roman" w:hAnsi="Times New Roman"/>
          <w:lang w:val="fr-FR"/>
        </w:rPr>
        <w:t xml:space="preserve">et exigence de durée </w:t>
      </w:r>
      <w:r w:rsidRPr="004E4ED4">
        <w:rPr>
          <w:rFonts w:ascii="Times New Roman" w:hAnsi="Times New Roman"/>
          <w:lang w:val="fr-FR"/>
        </w:rPr>
        <w:t xml:space="preserve">d’une formation (pour l’octroi d’une aide à la formation dans un autre EM) = de </w:t>
      </w:r>
      <w:r w:rsidRPr="004E4ED4">
        <w:rPr>
          <w:rFonts w:ascii="Times New Roman" w:hAnsi="Times New Roman"/>
          <w:b/>
          <w:lang w:val="fr-FR"/>
        </w:rPr>
        <w:t>nature à dissuader</w:t>
      </w:r>
      <w:r w:rsidRPr="004E4ED4">
        <w:rPr>
          <w:rFonts w:ascii="Times New Roman" w:hAnsi="Times New Roman"/>
          <w:lang w:val="fr-FR"/>
        </w:rPr>
        <w:t xml:space="preserve"> les citoyens de l’Union, tels que Mme </w:t>
      </w:r>
      <w:proofErr w:type="spellStart"/>
      <w:r w:rsidRPr="004E4ED4">
        <w:rPr>
          <w:rFonts w:ascii="Times New Roman" w:hAnsi="Times New Roman"/>
          <w:lang w:val="fr-FR"/>
        </w:rPr>
        <w:t>Elrick</w:t>
      </w:r>
      <w:proofErr w:type="spellEnd"/>
      <w:r w:rsidR="00C47689" w:rsidRPr="004E4ED4">
        <w:rPr>
          <w:rFonts w:ascii="Times New Roman" w:hAnsi="Times New Roman"/>
          <w:lang w:val="fr-FR"/>
        </w:rPr>
        <w:t xml:space="preserve"> (Allemande domiciliée en Allemagne)</w:t>
      </w:r>
      <w:r w:rsidRPr="004E4ED4">
        <w:rPr>
          <w:rFonts w:ascii="Times New Roman" w:hAnsi="Times New Roman"/>
          <w:lang w:val="fr-FR"/>
        </w:rPr>
        <w:t xml:space="preserve">, </w:t>
      </w:r>
      <w:r w:rsidR="00C47689" w:rsidRPr="004E4ED4">
        <w:rPr>
          <w:rFonts w:ascii="Times New Roman" w:hAnsi="Times New Roman"/>
          <w:lang w:val="fr-FR"/>
        </w:rPr>
        <w:t>d’exercer leur liberté de circuler…</w:t>
      </w:r>
    </w:p>
    <w:p w:rsidR="00C47689" w:rsidRPr="004E4ED4" w:rsidRDefault="00C47689" w:rsidP="008E069E">
      <w:pPr>
        <w:spacing w:before="120" w:line="360" w:lineRule="auto"/>
        <w:ind w:left="1440"/>
        <w:rPr>
          <w:rFonts w:ascii="Times New Roman" w:hAnsi="Times New Roman"/>
          <w:lang w:val="fr-FR"/>
        </w:rPr>
      </w:pPr>
      <w:r w:rsidRPr="004E4ED4">
        <w:rPr>
          <w:rFonts w:ascii="Times New Roman" w:hAnsi="Times New Roman"/>
          <w:lang w:val="fr-FR"/>
        </w:rPr>
        <w:t>Justification = incohérente et donc non proportionnée !</w:t>
      </w:r>
    </w:p>
    <w:p w:rsidR="00582755" w:rsidRPr="004E4ED4" w:rsidRDefault="00582755" w:rsidP="008E069E">
      <w:pPr>
        <w:spacing w:before="120" w:line="360" w:lineRule="auto"/>
        <w:ind w:firstLine="720"/>
        <w:rPr>
          <w:rFonts w:ascii="Times New Roman" w:hAnsi="Times New Roman"/>
          <w:lang w:val="fr-FR"/>
        </w:rPr>
      </w:pPr>
    </w:p>
    <w:p w:rsidR="007D1756" w:rsidRPr="004E4ED4" w:rsidRDefault="00582755" w:rsidP="008E069E">
      <w:pPr>
        <w:spacing w:before="120" w:line="360" w:lineRule="auto"/>
        <w:ind w:firstLine="720"/>
        <w:rPr>
          <w:rFonts w:ascii="Times New Roman" w:hAnsi="Times New Roman"/>
          <w:lang w:val="fr-FR"/>
        </w:rPr>
      </w:pPr>
      <w:r w:rsidRPr="004E4ED4">
        <w:rPr>
          <w:rFonts w:ascii="Times New Roman" w:hAnsi="Times New Roman"/>
          <w:lang w:val="fr-FR"/>
        </w:rPr>
        <w:t xml:space="preserve">CJUE, </w:t>
      </w:r>
      <w:r w:rsidR="004B6524" w:rsidRPr="004E4ED4">
        <w:rPr>
          <w:rFonts w:ascii="Times New Roman" w:hAnsi="Times New Roman"/>
          <w:lang w:val="fr-FR"/>
        </w:rPr>
        <w:t xml:space="preserve">18 juillet </w:t>
      </w:r>
      <w:r w:rsidRPr="004E4ED4">
        <w:rPr>
          <w:rFonts w:ascii="Times New Roman" w:hAnsi="Times New Roman"/>
          <w:lang w:val="fr-FR"/>
        </w:rPr>
        <w:t xml:space="preserve">2006, </w:t>
      </w:r>
      <w:r w:rsidRPr="004E4ED4">
        <w:rPr>
          <w:rFonts w:ascii="Times New Roman" w:hAnsi="Times New Roman"/>
          <w:b/>
          <w:lang w:val="fr-FR"/>
        </w:rPr>
        <w:t xml:space="preserve">de </w:t>
      </w:r>
      <w:proofErr w:type="spellStart"/>
      <w:r w:rsidRPr="004E4ED4">
        <w:rPr>
          <w:rFonts w:ascii="Times New Roman" w:hAnsi="Times New Roman"/>
          <w:b/>
          <w:lang w:val="fr-FR"/>
        </w:rPr>
        <w:t>Cuyper</w:t>
      </w:r>
      <w:proofErr w:type="spellEnd"/>
      <w:r w:rsidR="004B6524" w:rsidRPr="004E4ED4">
        <w:rPr>
          <w:rFonts w:ascii="Times New Roman" w:hAnsi="Times New Roman"/>
          <w:lang w:val="fr-FR"/>
        </w:rPr>
        <w:t xml:space="preserve">, </w:t>
      </w:r>
      <w:proofErr w:type="spellStart"/>
      <w:r w:rsidR="004B6524" w:rsidRPr="004E4ED4">
        <w:rPr>
          <w:rFonts w:ascii="Times New Roman" w:hAnsi="Times New Roman"/>
          <w:lang w:val="fr-FR"/>
        </w:rPr>
        <w:t>aff</w:t>
      </w:r>
      <w:proofErr w:type="spellEnd"/>
      <w:r w:rsidR="004B6524" w:rsidRPr="004E4ED4">
        <w:rPr>
          <w:rFonts w:ascii="Times New Roman" w:hAnsi="Times New Roman"/>
          <w:lang w:val="fr-FR"/>
        </w:rPr>
        <w:t>. C-406/04</w:t>
      </w:r>
      <w:r w:rsidR="00CA6B12" w:rsidRPr="004E4ED4">
        <w:rPr>
          <w:rFonts w:ascii="Times New Roman" w:hAnsi="Times New Roman"/>
          <w:lang w:val="fr-FR"/>
        </w:rPr>
        <w:t xml:space="preserve">, Rec. </w:t>
      </w:r>
      <w:r w:rsidR="00CA6B12" w:rsidRPr="004E4ED4">
        <w:rPr>
          <w:rFonts w:ascii="Times New Roman" w:hAnsi="Times New Roman"/>
        </w:rPr>
        <w:t>2006 I-6947,</w:t>
      </w:r>
    </w:p>
    <w:p w:rsidR="004F37B7" w:rsidRPr="004E4ED4" w:rsidRDefault="007D1756"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sz w:val="24"/>
          <w:lang w:val="fr-FR"/>
        </w:rPr>
        <w:t>Point 39</w:t>
      </w:r>
      <w:r w:rsidR="004F37B7" w:rsidRPr="004E4ED4">
        <w:rPr>
          <w:rFonts w:ascii="Times New Roman" w:hAnsi="Times New Roman"/>
          <w:sz w:val="24"/>
          <w:lang w:val="fr-FR"/>
        </w:rPr>
        <w:t> </w:t>
      </w:r>
      <w:proofErr w:type="gramStart"/>
      <w:r w:rsidR="004F37B7" w:rsidRPr="004E4ED4">
        <w:rPr>
          <w:rFonts w:ascii="Times New Roman" w:hAnsi="Times New Roman"/>
          <w:sz w:val="24"/>
          <w:lang w:val="fr-FR"/>
        </w:rPr>
        <w:t xml:space="preserve">: </w:t>
      </w:r>
      <w:r w:rsidR="004F37B7" w:rsidRPr="004E4ED4">
        <w:rPr>
          <w:rFonts w:ascii="Times New Roman" w:hAnsi="Times New Roman" w:cs="Times New Roman"/>
          <w:sz w:val="24"/>
          <w:lang w:val="fr-FR"/>
        </w:rPr>
        <w:t> „</w:t>
      </w:r>
      <w:proofErr w:type="gramEnd"/>
      <w:r w:rsidR="004F37B7" w:rsidRPr="004E4ED4">
        <w:rPr>
          <w:rFonts w:ascii="Times New Roman" w:hAnsi="Times New Roman" w:cs="Times New Roman"/>
          <w:sz w:val="24"/>
          <w:lang w:val="fr-FR"/>
        </w:rPr>
        <w:t xml:space="preserve">Il est constant qu’une réglementation nationale telle que celle de l’espèce, qui désavantage certains ressortissants nationaux du seul fait qu’ils ont exercé leur liberté de circuler et de séjourner dans un autre État membre, constitue une </w:t>
      </w:r>
      <w:r w:rsidR="004F37B7" w:rsidRPr="004E4ED4">
        <w:rPr>
          <w:rFonts w:ascii="Times New Roman" w:hAnsi="Times New Roman" w:cs="Times New Roman"/>
          <w:b/>
          <w:sz w:val="24"/>
          <w:lang w:val="fr-FR"/>
        </w:rPr>
        <w:t>restriction</w:t>
      </w:r>
      <w:r w:rsidR="004F37B7" w:rsidRPr="004E4ED4">
        <w:rPr>
          <w:rFonts w:ascii="Times New Roman" w:hAnsi="Times New Roman" w:cs="Times New Roman"/>
          <w:sz w:val="24"/>
          <w:lang w:val="fr-FR"/>
        </w:rPr>
        <w:t xml:space="preserve"> aux libertés reconnues par l’article 18 CE à tout citoyen de l’Union.“</w:t>
      </w:r>
    </w:p>
    <w:p w:rsidR="004F37B7" w:rsidRPr="004E4ED4" w:rsidRDefault="004F37B7"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sz w:val="24"/>
          <w:lang w:val="fr-FR"/>
        </w:rPr>
        <w:t>40      Une telle restriction ne peut être justifiée, à l’égard du droit communautaire, que si elle se fonde sur des considérations objectives d’intérêt général indépendantes de la nationalité des personnes concernées et est proportionnée à l’objectif légitimement poursuivi par le droit national.</w:t>
      </w:r>
    </w:p>
    <w:p w:rsidR="00E044EC" w:rsidRPr="004E4ED4" w:rsidRDefault="00163B8D" w:rsidP="008E069E">
      <w:pPr>
        <w:pStyle w:val="Heading3"/>
        <w:spacing w:before="120" w:line="360" w:lineRule="auto"/>
        <w:ind w:firstLine="720"/>
        <w:rPr>
          <w:rFonts w:ascii="Times New Roman" w:hAnsi="Times New Roman" w:cs="Times New Roman"/>
          <w:color w:val="auto"/>
          <w:lang w:val="fr-FR"/>
        </w:rPr>
      </w:pPr>
      <w:r w:rsidRPr="004E4ED4">
        <w:rPr>
          <w:rFonts w:ascii="Times New Roman" w:hAnsi="Times New Roman" w:cs="Times New Roman"/>
          <w:color w:val="auto"/>
          <w:lang w:val="fr-FR"/>
        </w:rPr>
        <w:t xml:space="preserve">2. </w:t>
      </w:r>
      <w:r w:rsidR="00C41E01" w:rsidRPr="004E4ED4">
        <w:rPr>
          <w:rFonts w:ascii="Times New Roman" w:hAnsi="Times New Roman" w:cs="Times New Roman"/>
          <w:color w:val="auto"/>
          <w:lang w:val="fr-FR"/>
        </w:rPr>
        <w:t>Droit de séjour et l</w:t>
      </w:r>
      <w:r w:rsidR="00E044EC" w:rsidRPr="004E4ED4">
        <w:rPr>
          <w:rFonts w:ascii="Times New Roman" w:hAnsi="Times New Roman" w:cs="Times New Roman"/>
          <w:color w:val="auto"/>
          <w:lang w:val="fr-FR"/>
        </w:rPr>
        <w:t>a protection des intérêts légitimes des Etats membres</w:t>
      </w:r>
    </w:p>
    <w:p w:rsidR="00255CDD" w:rsidRPr="004E4ED4" w:rsidRDefault="00255CDD" w:rsidP="008E069E">
      <w:pPr>
        <w:pStyle w:val="c01pointnumerotealtn"/>
        <w:spacing w:beforeLines="0" w:afterLines="0" w:line="360" w:lineRule="auto"/>
        <w:ind w:firstLine="720"/>
        <w:rPr>
          <w:rFonts w:ascii="Times New Roman" w:hAnsi="Times New Roman" w:cs="Times New Roman"/>
          <w:sz w:val="24"/>
          <w:lang w:val="fr-FR"/>
        </w:rPr>
      </w:pPr>
    </w:p>
    <w:p w:rsidR="004A0CCB" w:rsidRPr="004E4ED4" w:rsidRDefault="00D65B46" w:rsidP="008E069E">
      <w:pPr>
        <w:pStyle w:val="c01pointnumerotealtn"/>
        <w:spacing w:beforeLines="0" w:afterLines="0" w:line="360" w:lineRule="auto"/>
        <w:ind w:firstLine="720"/>
        <w:rPr>
          <w:rFonts w:ascii="Times New Roman" w:hAnsi="Times New Roman"/>
          <w:sz w:val="24"/>
          <w:lang w:val="fr-LU"/>
        </w:rPr>
      </w:pPr>
      <w:r w:rsidRPr="004E4ED4">
        <w:rPr>
          <w:rFonts w:ascii="Times New Roman" w:hAnsi="Times New Roman" w:cs="Times New Roman"/>
          <w:sz w:val="24"/>
          <w:lang w:val="fr-FR"/>
        </w:rPr>
        <w:t>CJUE, 19 septembre 2013, Pet</w:t>
      </w:r>
      <w:r w:rsidR="00BA7134" w:rsidRPr="004E4ED4">
        <w:rPr>
          <w:rFonts w:ascii="Times New Roman" w:hAnsi="Times New Roman" w:cs="Times New Roman"/>
          <w:sz w:val="24"/>
          <w:lang w:val="fr-FR"/>
        </w:rPr>
        <w:t xml:space="preserve">er </w:t>
      </w:r>
      <w:proofErr w:type="spellStart"/>
      <w:r w:rsidR="00BA7134" w:rsidRPr="004E4ED4">
        <w:rPr>
          <w:rFonts w:ascii="Times New Roman" w:hAnsi="Times New Roman" w:cs="Times New Roman"/>
          <w:b/>
          <w:sz w:val="24"/>
          <w:lang w:val="fr-FR"/>
        </w:rPr>
        <w:t>Brey</w:t>
      </w:r>
      <w:proofErr w:type="spellEnd"/>
      <w:r w:rsidR="00CC5B53" w:rsidRPr="004E4ED4">
        <w:rPr>
          <w:rFonts w:ascii="Times New Roman" w:hAnsi="Times New Roman" w:cs="Times New Roman"/>
          <w:sz w:val="24"/>
          <w:lang w:val="fr-FR"/>
        </w:rPr>
        <w:t xml:space="preserve">, </w:t>
      </w:r>
      <w:proofErr w:type="spellStart"/>
      <w:r w:rsidR="00CC5B53" w:rsidRPr="004E4ED4">
        <w:rPr>
          <w:rFonts w:ascii="Times New Roman" w:hAnsi="Times New Roman" w:cs="Times New Roman"/>
          <w:sz w:val="24"/>
          <w:lang w:val="fr-FR"/>
        </w:rPr>
        <w:t>aff</w:t>
      </w:r>
      <w:proofErr w:type="spellEnd"/>
      <w:r w:rsidR="00CC5B53" w:rsidRPr="004E4ED4">
        <w:rPr>
          <w:rFonts w:ascii="Times New Roman" w:hAnsi="Times New Roman" w:cs="Times New Roman"/>
          <w:sz w:val="24"/>
          <w:lang w:val="fr-FR"/>
        </w:rPr>
        <w:t>. C-140/12</w:t>
      </w:r>
      <w:r w:rsidR="00CA6B12" w:rsidRPr="004E4ED4">
        <w:rPr>
          <w:rFonts w:ascii="Times New Roman" w:hAnsi="Times New Roman" w:cs="Times New Roman"/>
          <w:sz w:val="24"/>
          <w:lang w:val="fr-FR"/>
        </w:rPr>
        <w:t>,</w:t>
      </w:r>
      <w:r w:rsidR="00CA6B12" w:rsidRPr="004E4ED4">
        <w:rPr>
          <w:rFonts w:ascii="Times New Roman" w:hAnsi="Times New Roman"/>
          <w:sz w:val="24"/>
          <w:szCs w:val="24"/>
          <w:lang w:val="fr-LU"/>
        </w:rPr>
        <w:t xml:space="preserve"> </w:t>
      </w:r>
      <w:r w:rsidR="00CA6B12" w:rsidRPr="004E4ED4">
        <w:rPr>
          <w:rFonts w:ascii="Times New Roman" w:hAnsi="Times New Roman" w:cs="Times New Roman"/>
          <w:sz w:val="24"/>
          <w:lang w:val="fr-LU"/>
        </w:rPr>
        <w:t>non encore publié,</w:t>
      </w:r>
    </w:p>
    <w:p w:rsidR="00CC5B53" w:rsidRPr="004E4ED4" w:rsidRDefault="00CA6B12" w:rsidP="008E069E">
      <w:pPr>
        <w:pStyle w:val="c01pointnumerotealtn"/>
        <w:spacing w:beforeLines="0" w:afterLines="0" w:line="360" w:lineRule="auto"/>
        <w:ind w:left="1440"/>
        <w:rPr>
          <w:rFonts w:ascii="Times New Roman" w:hAnsi="Times New Roman" w:cs="Times New Roman"/>
          <w:sz w:val="24"/>
          <w:lang w:val="fr-FR"/>
        </w:rPr>
      </w:pPr>
      <w:bookmarkStart w:id="5" w:name="point54"/>
      <w:r w:rsidRPr="004E4ED4">
        <w:rPr>
          <w:rFonts w:ascii="Times New Roman" w:hAnsi="Times New Roman" w:cs="Times New Roman"/>
          <w:sz w:val="24"/>
          <w:lang w:val="fr-FR"/>
        </w:rPr>
        <w:t>P</w:t>
      </w:r>
      <w:r w:rsidR="00CC5B53" w:rsidRPr="004E4ED4">
        <w:rPr>
          <w:rFonts w:ascii="Times New Roman" w:hAnsi="Times New Roman" w:cs="Times New Roman"/>
          <w:sz w:val="24"/>
          <w:lang w:val="fr-FR"/>
        </w:rPr>
        <w:t>oint 53: „les citoyens de l’Union n’ayant pas ou plus la qualité de travailleur doivent disposer de ressources suffisantes. »</w:t>
      </w:r>
    </w:p>
    <w:p w:rsidR="004A0CCB" w:rsidRPr="004E4ED4" w:rsidRDefault="004A0CCB"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cs="Times New Roman"/>
          <w:sz w:val="24"/>
          <w:lang w:val="fr-FR"/>
        </w:rPr>
        <w:t>54</w:t>
      </w:r>
      <w:bookmarkEnd w:id="5"/>
      <w:r w:rsidRPr="004E4ED4">
        <w:rPr>
          <w:rFonts w:ascii="Times New Roman" w:hAnsi="Times New Roman" w:cs="Times New Roman"/>
          <w:sz w:val="24"/>
          <w:lang w:val="fr-FR"/>
        </w:rPr>
        <w:t>      Il ressort, en particulier, du considérant 10 de la directive 2004/38 que cette condition</w:t>
      </w:r>
      <w:r w:rsidR="00991415" w:rsidRPr="004E4ED4">
        <w:rPr>
          <w:rFonts w:ascii="Times New Roman" w:hAnsi="Times New Roman" w:cs="Times New Roman"/>
          <w:sz w:val="24"/>
          <w:lang w:val="fr-FR"/>
        </w:rPr>
        <w:t xml:space="preserve"> (des ressources suf</w:t>
      </w:r>
      <w:r w:rsidR="00CC5B53" w:rsidRPr="004E4ED4">
        <w:rPr>
          <w:rFonts w:ascii="Times New Roman" w:hAnsi="Times New Roman" w:cs="Times New Roman"/>
          <w:sz w:val="24"/>
          <w:lang w:val="fr-FR"/>
        </w:rPr>
        <w:t>f</w:t>
      </w:r>
      <w:r w:rsidR="00991415" w:rsidRPr="004E4ED4">
        <w:rPr>
          <w:rFonts w:ascii="Times New Roman" w:hAnsi="Times New Roman" w:cs="Times New Roman"/>
          <w:sz w:val="24"/>
          <w:lang w:val="fr-FR"/>
        </w:rPr>
        <w:t xml:space="preserve">isantes) </w:t>
      </w:r>
      <w:r w:rsidRPr="004E4ED4">
        <w:rPr>
          <w:rFonts w:ascii="Times New Roman" w:hAnsi="Times New Roman" w:cs="Times New Roman"/>
          <w:sz w:val="24"/>
          <w:lang w:val="fr-FR"/>
        </w:rPr>
        <w:t xml:space="preserve"> vise, notamment, à éviter que ces personnes ne deviennent une </w:t>
      </w:r>
      <w:r w:rsidRPr="004E4ED4">
        <w:rPr>
          <w:rFonts w:ascii="Times New Roman" w:hAnsi="Times New Roman" w:cs="Times New Roman"/>
          <w:b/>
          <w:sz w:val="24"/>
          <w:lang w:val="fr-FR"/>
        </w:rPr>
        <w:t>charge déraisonnable</w:t>
      </w:r>
      <w:r w:rsidRPr="004E4ED4">
        <w:rPr>
          <w:rFonts w:ascii="Times New Roman" w:hAnsi="Times New Roman" w:cs="Times New Roman"/>
          <w:sz w:val="24"/>
          <w:lang w:val="fr-FR"/>
        </w:rPr>
        <w:t xml:space="preserve"> pour le système d’assistance soc</w:t>
      </w:r>
      <w:r w:rsidR="00991415" w:rsidRPr="004E4ED4">
        <w:rPr>
          <w:rFonts w:ascii="Times New Roman" w:hAnsi="Times New Roman" w:cs="Times New Roman"/>
          <w:sz w:val="24"/>
          <w:lang w:val="fr-FR"/>
        </w:rPr>
        <w:t>iale de l’État membre d’accueil.</w:t>
      </w:r>
    </w:p>
    <w:p w:rsidR="004A0CCB" w:rsidRPr="004E4ED4" w:rsidRDefault="004A0CCB" w:rsidP="008E069E">
      <w:pPr>
        <w:pStyle w:val="c01pointnumerotealtn"/>
        <w:spacing w:beforeLines="0" w:afterLines="0" w:line="360" w:lineRule="auto"/>
        <w:ind w:left="1440"/>
        <w:rPr>
          <w:rFonts w:ascii="Times New Roman" w:hAnsi="Times New Roman" w:cs="Times New Roman"/>
          <w:sz w:val="24"/>
          <w:lang w:val="fr-FR"/>
        </w:rPr>
      </w:pPr>
      <w:bookmarkStart w:id="6" w:name="point55"/>
      <w:r w:rsidRPr="004E4ED4">
        <w:rPr>
          <w:rFonts w:ascii="Times New Roman" w:hAnsi="Times New Roman" w:cs="Times New Roman"/>
          <w:sz w:val="24"/>
          <w:lang w:val="fr-FR"/>
        </w:rPr>
        <w:t>55</w:t>
      </w:r>
      <w:bookmarkEnd w:id="6"/>
      <w:r w:rsidRPr="004E4ED4">
        <w:rPr>
          <w:rFonts w:ascii="Times New Roman" w:hAnsi="Times New Roman" w:cs="Times New Roman"/>
          <w:sz w:val="24"/>
          <w:lang w:val="fr-FR"/>
        </w:rPr>
        <w:t xml:space="preserve">      Une telle condition s’inspire de l’idée que l’exercice du droit de séjour des citoyens de l’Union peut être subordonné aux </w:t>
      </w:r>
      <w:r w:rsidRPr="004E4ED4">
        <w:rPr>
          <w:rFonts w:ascii="Times New Roman" w:hAnsi="Times New Roman" w:cs="Times New Roman"/>
          <w:b/>
          <w:sz w:val="24"/>
          <w:lang w:val="fr-FR"/>
        </w:rPr>
        <w:t>intérêts légitimes des États membres, en l’occurrence, la protection de leurs finances publiques</w:t>
      </w:r>
    </w:p>
    <w:p w:rsidR="00991415" w:rsidRPr="004E4ED4" w:rsidRDefault="00CC5B53"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cs="Times New Roman"/>
          <w:sz w:val="24"/>
          <w:lang w:val="fr-FR"/>
        </w:rPr>
        <w:t>Point 71</w:t>
      </w:r>
      <w:proofErr w:type="gramStart"/>
      <w:r w:rsidRPr="004E4ED4">
        <w:rPr>
          <w:rFonts w:ascii="Times New Roman" w:hAnsi="Times New Roman" w:cs="Times New Roman"/>
          <w:sz w:val="24"/>
          <w:lang w:val="fr-FR"/>
        </w:rPr>
        <w:t xml:space="preserve">: </w:t>
      </w:r>
      <w:r w:rsidRPr="004E4ED4">
        <w:rPr>
          <w:rFonts w:ascii="Times New Roman" w:hAnsi="Times New Roman"/>
          <w:sz w:val="24"/>
          <w:lang w:val="fr-FR"/>
        </w:rPr>
        <w:t> „</w:t>
      </w:r>
      <w:proofErr w:type="gramEnd"/>
      <w:r w:rsidRPr="004E4ED4">
        <w:rPr>
          <w:rFonts w:ascii="Times New Roman" w:hAnsi="Times New Roman"/>
          <w:b/>
          <w:sz w:val="24"/>
          <w:lang w:val="fr-FR"/>
        </w:rPr>
        <w:t>la marge de manœuvre reconnue aux États membres</w:t>
      </w:r>
      <w:r w:rsidRPr="004E4ED4">
        <w:rPr>
          <w:rFonts w:ascii="Times New Roman" w:hAnsi="Times New Roman"/>
          <w:sz w:val="24"/>
          <w:lang w:val="fr-FR"/>
        </w:rPr>
        <w:t xml:space="preserve"> ne doit pas être utilisée par ceux-ci d’une manière qui porterait atteinte à l’objectif de la directive 2004/38, qui est, notamment, de faciliter et de renforcer l’exercice du droit fondamental des citoyens de l’Union de circuler et de séjourner librement sur le territoire des États membres, et à l’effet utile de celle-ci »</w:t>
      </w:r>
    </w:p>
    <w:p w:rsidR="004A0CCB" w:rsidRPr="004E4ED4" w:rsidRDefault="004A0CCB"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cs="Times New Roman"/>
          <w:sz w:val="24"/>
          <w:lang w:val="fr-FR"/>
        </w:rPr>
        <w:t xml:space="preserve">Point 79 :       En l’occurrence, c’est à la juridiction de renvoi, seule compétente pour apprécier les faits, de déterminer, notamment eu égard à ces éléments, si l’octroi d’une prestation telle que le supplément compensatoire à une personne dans la situation de M. </w:t>
      </w:r>
      <w:proofErr w:type="spellStart"/>
      <w:r w:rsidRPr="004E4ED4">
        <w:rPr>
          <w:rFonts w:ascii="Times New Roman" w:hAnsi="Times New Roman" w:cs="Times New Roman"/>
          <w:sz w:val="24"/>
          <w:lang w:val="fr-FR"/>
        </w:rPr>
        <w:t>Brey</w:t>
      </w:r>
      <w:proofErr w:type="spellEnd"/>
      <w:r w:rsidRPr="004E4ED4">
        <w:rPr>
          <w:rFonts w:ascii="Times New Roman" w:hAnsi="Times New Roman" w:cs="Times New Roman"/>
          <w:sz w:val="24"/>
          <w:lang w:val="fr-FR"/>
        </w:rPr>
        <w:t xml:space="preserve"> est susceptible de représenter une charge déraisonnable pour le système national d’assistance sociale.</w:t>
      </w:r>
    </w:p>
    <w:p w:rsidR="0008301F" w:rsidRPr="004E4ED4" w:rsidRDefault="0008301F" w:rsidP="008E069E">
      <w:pPr>
        <w:pStyle w:val="c01pointnumerotealtn"/>
        <w:spacing w:beforeLines="0" w:afterLines="0" w:line="360" w:lineRule="auto"/>
        <w:ind w:firstLine="720"/>
        <w:rPr>
          <w:rFonts w:ascii="Times New Roman" w:hAnsi="Times New Roman" w:cs="Times New Roman"/>
          <w:sz w:val="24"/>
          <w:lang w:val="fr-FR"/>
        </w:rPr>
      </w:pPr>
    </w:p>
    <w:p w:rsidR="0008301F" w:rsidRPr="004E4ED4" w:rsidRDefault="0008301F" w:rsidP="008E069E">
      <w:pPr>
        <w:pStyle w:val="c01pointnumerotealtn"/>
        <w:spacing w:beforeLines="0" w:afterLines="0" w:line="360" w:lineRule="auto"/>
        <w:ind w:firstLine="720"/>
        <w:rPr>
          <w:rFonts w:ascii="Times New Roman" w:hAnsi="Times New Roman"/>
          <w:sz w:val="24"/>
          <w:lang w:val="fr-FR"/>
        </w:rPr>
      </w:pPr>
    </w:p>
    <w:p w:rsidR="00CC0AEA" w:rsidRPr="004E4ED4" w:rsidRDefault="0008301F" w:rsidP="008E069E">
      <w:pPr>
        <w:pStyle w:val="Heading3"/>
        <w:spacing w:before="120" w:line="360" w:lineRule="auto"/>
        <w:ind w:firstLine="720"/>
        <w:rPr>
          <w:rFonts w:ascii="Times New Roman" w:hAnsi="Times New Roman"/>
          <w:color w:val="auto"/>
          <w:lang w:val="fr-FR"/>
        </w:rPr>
      </w:pPr>
      <w:r w:rsidRPr="004E4ED4">
        <w:rPr>
          <w:rFonts w:ascii="Times New Roman" w:hAnsi="Times New Roman"/>
          <w:color w:val="auto"/>
          <w:lang w:val="fr-FR"/>
        </w:rPr>
        <w:t xml:space="preserve">3. </w:t>
      </w:r>
      <w:r w:rsidR="00E044EC" w:rsidRPr="004E4ED4">
        <w:rPr>
          <w:rFonts w:ascii="Times New Roman" w:hAnsi="Times New Roman"/>
          <w:color w:val="auto"/>
          <w:lang w:val="fr-FR"/>
        </w:rPr>
        <w:t>Aides à la formation et l’exigence d’un « lien d’intégration suffisant »</w:t>
      </w:r>
    </w:p>
    <w:p w:rsidR="00CC0AEA" w:rsidRPr="004E4ED4" w:rsidRDefault="00CC0AEA" w:rsidP="008E069E">
      <w:pPr>
        <w:spacing w:before="120" w:line="360" w:lineRule="auto"/>
        <w:rPr>
          <w:rFonts w:ascii="Times New Roman" w:hAnsi="Times New Roman"/>
          <w:lang w:val="fr-FR"/>
        </w:rPr>
      </w:pPr>
    </w:p>
    <w:p w:rsidR="00991415" w:rsidRPr="004E4ED4" w:rsidRDefault="00163B8D" w:rsidP="008E069E">
      <w:pPr>
        <w:spacing w:before="120" w:line="360" w:lineRule="auto"/>
        <w:ind w:left="720"/>
        <w:rPr>
          <w:rFonts w:ascii="Times New Roman" w:hAnsi="Times New Roman"/>
          <w:lang w:val="fr-FR"/>
        </w:rPr>
      </w:pPr>
      <w:r w:rsidRPr="004E4ED4">
        <w:rPr>
          <w:rFonts w:ascii="Times New Roman" w:hAnsi="Times New Roman"/>
          <w:lang w:val="fr-FR"/>
        </w:rPr>
        <w:t>CJUE</w:t>
      </w:r>
      <w:r w:rsidR="00A635A8" w:rsidRPr="004E4ED4">
        <w:rPr>
          <w:rFonts w:ascii="Times New Roman" w:hAnsi="Times New Roman"/>
          <w:lang w:val="fr-FR"/>
        </w:rPr>
        <w:t>,</w:t>
      </w:r>
      <w:r w:rsidRPr="004E4ED4">
        <w:rPr>
          <w:rFonts w:ascii="Times New Roman" w:hAnsi="Times New Roman"/>
          <w:lang w:val="fr-FR"/>
        </w:rPr>
        <w:t xml:space="preserve"> </w:t>
      </w:r>
      <w:r w:rsidR="00CC0AEA" w:rsidRPr="004E4ED4">
        <w:rPr>
          <w:rFonts w:ascii="Times New Roman" w:hAnsi="Times New Roman"/>
          <w:lang w:val="fr-FR"/>
        </w:rPr>
        <w:t>18 juillet 2013</w:t>
      </w:r>
      <w:r w:rsidR="00A635A8" w:rsidRPr="004E4ED4">
        <w:rPr>
          <w:rFonts w:ascii="Times New Roman" w:hAnsi="Times New Roman"/>
          <w:lang w:val="fr-FR"/>
        </w:rPr>
        <w:t>,</w:t>
      </w:r>
      <w:r w:rsidR="00CC0AEA" w:rsidRPr="004E4ED4">
        <w:rPr>
          <w:rFonts w:ascii="Times New Roman" w:hAnsi="Times New Roman"/>
          <w:lang w:val="fr-FR"/>
        </w:rPr>
        <w:t xml:space="preserve"> </w:t>
      </w:r>
      <w:proofErr w:type="spellStart"/>
      <w:r w:rsidR="00CC0AEA" w:rsidRPr="004E4ED4">
        <w:rPr>
          <w:rFonts w:ascii="Times New Roman" w:hAnsi="Times New Roman"/>
          <w:b/>
          <w:lang w:val="fr-FR"/>
        </w:rPr>
        <w:t>Prinz</w:t>
      </w:r>
      <w:proofErr w:type="spellEnd"/>
      <w:r w:rsidR="00CC0AEA" w:rsidRPr="004E4ED4">
        <w:rPr>
          <w:rFonts w:ascii="Times New Roman" w:hAnsi="Times New Roman"/>
          <w:b/>
          <w:lang w:val="fr-FR"/>
        </w:rPr>
        <w:t xml:space="preserve"> et </w:t>
      </w:r>
      <w:proofErr w:type="spellStart"/>
      <w:r w:rsidR="00CC0AEA" w:rsidRPr="004E4ED4">
        <w:rPr>
          <w:rFonts w:ascii="Times New Roman" w:hAnsi="Times New Roman"/>
          <w:b/>
          <w:lang w:val="fr-FR"/>
        </w:rPr>
        <w:t>Seeberger</w:t>
      </w:r>
      <w:proofErr w:type="spellEnd"/>
      <w:r w:rsidR="00CC0AEA" w:rsidRPr="004E4ED4">
        <w:rPr>
          <w:rFonts w:ascii="Times New Roman" w:hAnsi="Times New Roman"/>
          <w:lang w:val="fr-FR"/>
        </w:rPr>
        <w:t>,</w:t>
      </w:r>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w:t>
      </w:r>
      <w:r w:rsidR="00CC0AEA" w:rsidRPr="004E4ED4">
        <w:rPr>
          <w:rFonts w:ascii="Times New Roman" w:hAnsi="Times New Roman"/>
          <w:lang w:val="fr-FR"/>
        </w:rPr>
        <w:t xml:space="preserve"> C-523/11,</w:t>
      </w:r>
      <w:r w:rsidR="00A635A8" w:rsidRPr="004E4ED4">
        <w:rPr>
          <w:rFonts w:ascii="Times New Roman" w:hAnsi="Times New Roman"/>
          <w:lang w:val="fr-FR"/>
        </w:rPr>
        <w:t xml:space="preserve"> </w:t>
      </w:r>
      <w:r w:rsidR="00A635A8" w:rsidRPr="004E4ED4">
        <w:rPr>
          <w:rFonts w:ascii="Times New Roman" w:hAnsi="Times New Roman"/>
          <w:lang w:val="fr-LU"/>
        </w:rPr>
        <w:t>non encore publié,</w:t>
      </w:r>
      <w:r w:rsidR="00CC0AEA" w:rsidRPr="004E4ED4">
        <w:rPr>
          <w:rFonts w:ascii="Times New Roman" w:hAnsi="Times New Roman"/>
          <w:lang w:val="fr-FR"/>
        </w:rPr>
        <w:t xml:space="preserve"> </w:t>
      </w:r>
      <w:r w:rsidR="00A635A8" w:rsidRPr="004E4ED4">
        <w:rPr>
          <w:rFonts w:ascii="Times New Roman" w:hAnsi="Times New Roman"/>
          <w:lang w:val="fr-FR"/>
        </w:rPr>
        <w:t>P</w:t>
      </w:r>
      <w:r w:rsidR="00991415" w:rsidRPr="004E4ED4">
        <w:rPr>
          <w:rFonts w:ascii="Times New Roman" w:hAnsi="Times New Roman"/>
          <w:lang w:val="fr-FR"/>
        </w:rPr>
        <w:t>oints 36 :</w:t>
      </w:r>
    </w:p>
    <w:p w:rsidR="00597DA6" w:rsidRPr="004E4ED4" w:rsidRDefault="00991415" w:rsidP="008E069E">
      <w:pPr>
        <w:spacing w:before="120" w:line="360" w:lineRule="auto"/>
        <w:ind w:left="1440"/>
        <w:rPr>
          <w:rFonts w:ascii="Times New Roman" w:hAnsi="Times New Roman"/>
          <w:lang w:val="fr-FR"/>
        </w:rPr>
      </w:pPr>
      <w:r w:rsidRPr="004E4ED4">
        <w:rPr>
          <w:rFonts w:ascii="Times New Roman" w:hAnsi="Times New Roman"/>
          <w:lang w:val="fr-FR"/>
        </w:rPr>
        <w:t>“</w:t>
      </w:r>
      <w:proofErr w:type="gramStart"/>
      <w:r w:rsidRPr="004E4ED4">
        <w:rPr>
          <w:rFonts w:ascii="Times New Roman" w:hAnsi="Times New Roman"/>
          <w:lang w:val="fr-FR"/>
        </w:rPr>
        <w:t>la</w:t>
      </w:r>
      <w:proofErr w:type="gramEnd"/>
      <w:r w:rsidRPr="004E4ED4">
        <w:rPr>
          <w:rFonts w:ascii="Times New Roman" w:hAnsi="Times New Roman"/>
          <w:lang w:val="fr-FR"/>
        </w:rPr>
        <w:t xml:space="preserve"> Cour a reconnu qu’il peut être légitime pour un État membre, afin d’éviter que l’octroi d’aides visant à couvrir les frais d’entretien d’étudiants provenant d’autres États membres ne devienne une </w:t>
      </w:r>
      <w:r w:rsidRPr="004E4ED4">
        <w:rPr>
          <w:rFonts w:ascii="Times New Roman" w:hAnsi="Times New Roman"/>
          <w:b/>
          <w:lang w:val="fr-FR"/>
        </w:rPr>
        <w:t>charge déraisonnable</w:t>
      </w:r>
      <w:r w:rsidRPr="004E4ED4">
        <w:rPr>
          <w:rFonts w:ascii="Times New Roman" w:hAnsi="Times New Roman"/>
          <w:lang w:val="fr-FR"/>
        </w:rPr>
        <w:t xml:space="preserve"> qui pourrait avoir des conséquences sur le niveau global de l’aide pouvant être allouée par cet État, de n’octroyer de telles aides qu’aux </w:t>
      </w:r>
      <w:r w:rsidRPr="004E4ED4">
        <w:rPr>
          <w:rFonts w:ascii="Times New Roman" w:hAnsi="Times New Roman"/>
          <w:b/>
          <w:lang w:val="fr-FR"/>
        </w:rPr>
        <w:t>étudiants ayant démontré un certain degré d’intégration dans la société dudit État</w:t>
      </w:r>
      <w:r w:rsidRPr="004E4ED4">
        <w:rPr>
          <w:rFonts w:ascii="Times New Roman" w:hAnsi="Times New Roman"/>
          <w:lang w:val="fr-FR"/>
        </w:rPr>
        <w:t>”</w:t>
      </w:r>
    </w:p>
    <w:p w:rsidR="00597DA6" w:rsidRPr="004E4ED4" w:rsidRDefault="00597DA6" w:rsidP="008E069E">
      <w:pPr>
        <w:spacing w:before="120" w:line="360" w:lineRule="auto"/>
        <w:ind w:left="1440"/>
        <w:rPr>
          <w:rFonts w:ascii="Times New Roman" w:hAnsi="Times New Roman"/>
          <w:lang w:val="fr-FR"/>
        </w:rPr>
      </w:pPr>
    </w:p>
    <w:p w:rsidR="00597DA6" w:rsidRPr="004E4ED4" w:rsidRDefault="00597DA6" w:rsidP="008E069E">
      <w:pPr>
        <w:spacing w:before="120" w:line="360" w:lineRule="auto"/>
        <w:ind w:left="1440"/>
        <w:rPr>
          <w:rFonts w:ascii="Times New Roman" w:hAnsi="Times New Roman"/>
          <w:lang w:val="fr-FR"/>
        </w:rPr>
      </w:pPr>
      <w:proofErr w:type="gramStart"/>
      <w:r w:rsidRPr="004E4ED4">
        <w:rPr>
          <w:rFonts w:ascii="Times New Roman" w:hAnsi="Times New Roman"/>
          <w:lang w:val="fr-FR"/>
        </w:rPr>
        <w:t>point</w:t>
      </w:r>
      <w:proofErr w:type="gramEnd"/>
      <w:r w:rsidRPr="004E4ED4">
        <w:rPr>
          <w:rFonts w:ascii="Times New Roman" w:hAnsi="Times New Roman"/>
          <w:lang w:val="fr-FR"/>
        </w:rPr>
        <w:t xml:space="preserve"> 39 “il appartient à la juridiction nationale de procéder aux vérifications nécessaires aux fins d’apprécier si les intéressés justifient de liens suffisants de rattachement avec la société allemande de nature à démontrer leur intégration dans cette dernière.”</w:t>
      </w:r>
    </w:p>
    <w:p w:rsidR="00597DA6" w:rsidRPr="004E4ED4" w:rsidRDefault="00C41E01" w:rsidP="008E069E">
      <w:pPr>
        <w:spacing w:before="120" w:line="360" w:lineRule="auto"/>
        <w:ind w:left="1440"/>
        <w:rPr>
          <w:rFonts w:ascii="Times New Roman" w:hAnsi="Times New Roman"/>
          <w:lang w:val="fr-FR"/>
        </w:rPr>
      </w:pPr>
      <w:r w:rsidRPr="004E4ED4">
        <w:rPr>
          <w:rFonts w:ascii="Times New Roman" w:hAnsi="Times New Roman"/>
          <w:lang w:val="fr-FR"/>
        </w:rPr>
        <w:t xml:space="preserve">CJUE, 24 octobre 2013, </w:t>
      </w:r>
      <w:proofErr w:type="spellStart"/>
      <w:r w:rsidRPr="004E4ED4">
        <w:rPr>
          <w:rFonts w:ascii="Times New Roman" w:hAnsi="Times New Roman"/>
          <w:b/>
          <w:lang w:val="fr-FR"/>
        </w:rPr>
        <w:t>Thiele</w:t>
      </w:r>
      <w:proofErr w:type="spellEnd"/>
      <w:r w:rsidRPr="004E4ED4">
        <w:rPr>
          <w:rFonts w:ascii="Times New Roman" w:hAnsi="Times New Roman"/>
          <w:b/>
          <w:lang w:val="fr-FR"/>
        </w:rPr>
        <w:t xml:space="preserve"> </w:t>
      </w:r>
      <w:proofErr w:type="spellStart"/>
      <w:r w:rsidRPr="004E4ED4">
        <w:rPr>
          <w:rFonts w:ascii="Times New Roman" w:hAnsi="Times New Roman"/>
          <w:b/>
          <w:lang w:val="fr-FR"/>
        </w:rPr>
        <w:t>Meneses</w:t>
      </w:r>
      <w:proofErr w:type="spellEnd"/>
      <w:r w:rsidR="00163B8D" w:rsidRPr="004E4ED4">
        <w:rPr>
          <w:rFonts w:ascii="Times New Roman" w:hAnsi="Times New Roman"/>
          <w:lang w:val="fr-FR"/>
        </w:rPr>
        <w:t xml:space="preserve">, </w:t>
      </w:r>
      <w:proofErr w:type="spellStart"/>
      <w:r w:rsidR="00163B8D" w:rsidRPr="004E4ED4">
        <w:rPr>
          <w:rFonts w:ascii="Times New Roman" w:hAnsi="Times New Roman"/>
          <w:lang w:val="fr-FR"/>
        </w:rPr>
        <w:t>aff</w:t>
      </w:r>
      <w:proofErr w:type="spellEnd"/>
      <w:r w:rsidR="00163B8D" w:rsidRPr="004E4ED4">
        <w:rPr>
          <w:rFonts w:ascii="Times New Roman" w:hAnsi="Times New Roman"/>
          <w:lang w:val="fr-FR"/>
        </w:rPr>
        <w:t xml:space="preserve">. </w:t>
      </w:r>
      <w:r w:rsidR="006F4345" w:rsidRPr="004E4ED4">
        <w:rPr>
          <w:rFonts w:ascii="Times New Roman" w:hAnsi="Times New Roman"/>
          <w:lang w:val="fr-FR"/>
        </w:rPr>
        <w:t>C-220/12,</w:t>
      </w:r>
      <w:r w:rsidR="00A635A8" w:rsidRPr="004E4ED4">
        <w:rPr>
          <w:rFonts w:ascii="Times New Roman" w:hAnsi="Times New Roman"/>
          <w:lang w:val="fr-FR"/>
        </w:rPr>
        <w:t xml:space="preserve"> </w:t>
      </w:r>
      <w:r w:rsidR="00A635A8" w:rsidRPr="004E4ED4">
        <w:rPr>
          <w:rFonts w:ascii="Times New Roman" w:hAnsi="Times New Roman"/>
          <w:lang w:val="fr-LU"/>
        </w:rPr>
        <w:t>non encore publié,</w:t>
      </w:r>
      <w:r w:rsidR="006F4345" w:rsidRPr="004E4ED4">
        <w:rPr>
          <w:rFonts w:ascii="Times New Roman" w:hAnsi="Times New Roman"/>
          <w:lang w:val="fr-FR"/>
        </w:rPr>
        <w:t xml:space="preserve"> </w:t>
      </w:r>
      <w:r w:rsidR="00A635A8" w:rsidRPr="004E4ED4">
        <w:rPr>
          <w:rFonts w:ascii="Times New Roman" w:hAnsi="Times New Roman"/>
          <w:lang w:val="fr-FR"/>
        </w:rPr>
        <w:t>P</w:t>
      </w:r>
      <w:r w:rsidR="00BA7134" w:rsidRPr="004E4ED4">
        <w:rPr>
          <w:rFonts w:ascii="Times New Roman" w:hAnsi="Times New Roman"/>
          <w:lang w:val="fr-FR"/>
        </w:rPr>
        <w:t xml:space="preserve">oint 37 : </w:t>
      </w:r>
    </w:p>
    <w:p w:rsidR="008E4FD0" w:rsidRPr="004E4ED4" w:rsidRDefault="00597DA6" w:rsidP="008E069E">
      <w:pPr>
        <w:pStyle w:val="c01pointnumerotealtn"/>
        <w:spacing w:beforeLines="0" w:afterLines="0" w:line="360" w:lineRule="auto"/>
        <w:ind w:left="1440"/>
        <w:rPr>
          <w:rFonts w:ascii="Times New Roman" w:hAnsi="Times New Roman" w:cs="Times New Roman"/>
          <w:sz w:val="24"/>
          <w:lang w:val="fr-FR"/>
        </w:rPr>
      </w:pPr>
      <w:bookmarkStart w:id="7" w:name="point37"/>
      <w:r w:rsidRPr="004E4ED4">
        <w:rPr>
          <w:rFonts w:ascii="Times New Roman" w:hAnsi="Times New Roman" w:cs="Times New Roman"/>
          <w:sz w:val="24"/>
          <w:lang w:val="fr-FR"/>
        </w:rPr>
        <w:t>37</w:t>
      </w:r>
      <w:bookmarkEnd w:id="7"/>
      <w:r w:rsidRPr="004E4ED4">
        <w:rPr>
          <w:rFonts w:ascii="Times New Roman" w:hAnsi="Times New Roman" w:cs="Times New Roman"/>
          <w:sz w:val="24"/>
          <w:lang w:val="fr-FR"/>
        </w:rPr>
        <w:t xml:space="preserve">      À propos du degré de rattachement du bénéficiaire d’une prestation avec la société de l’État membre concerné, la Cour a eu l’occasion de juger, au sujet de prestations n’étant pas régies par le droit de l’Union comme celle en cause au principal, que les </w:t>
      </w:r>
      <w:r w:rsidRPr="004E4ED4">
        <w:rPr>
          <w:rFonts w:ascii="Times New Roman" w:hAnsi="Times New Roman" w:cs="Times New Roman"/>
          <w:b/>
          <w:sz w:val="24"/>
          <w:lang w:val="fr-FR"/>
        </w:rPr>
        <w:t>États membres jouissent d’une ample marge d’appréciation</w:t>
      </w:r>
      <w:r w:rsidRPr="004E4ED4">
        <w:rPr>
          <w:rFonts w:ascii="Times New Roman" w:hAnsi="Times New Roman" w:cs="Times New Roman"/>
          <w:sz w:val="24"/>
          <w:lang w:val="fr-FR"/>
        </w:rPr>
        <w:t xml:space="preserve"> en ce qui concerne la fixation des critères d’évaluation d’un tel rattachement</w:t>
      </w:r>
      <w:r w:rsidR="008E4FD0" w:rsidRPr="004E4ED4">
        <w:rPr>
          <w:rFonts w:ascii="Times New Roman" w:hAnsi="Times New Roman" w:cs="Times New Roman"/>
          <w:sz w:val="24"/>
          <w:lang w:val="fr-FR"/>
        </w:rPr>
        <w:t>.</w:t>
      </w:r>
    </w:p>
    <w:p w:rsidR="00597DA6" w:rsidRPr="004E4ED4" w:rsidRDefault="008E4FD0" w:rsidP="008E069E">
      <w:pPr>
        <w:pStyle w:val="c01pointnumerotealtn"/>
        <w:spacing w:beforeLines="0" w:afterLines="0" w:line="360" w:lineRule="auto"/>
        <w:ind w:left="1440"/>
        <w:rPr>
          <w:rFonts w:ascii="Times New Roman" w:hAnsi="Times New Roman" w:cs="Times New Roman"/>
          <w:sz w:val="24"/>
          <w:lang w:val="fr-FR"/>
        </w:rPr>
      </w:pPr>
      <w:bookmarkStart w:id="8" w:name="point41"/>
      <w:r w:rsidRPr="004E4ED4">
        <w:rPr>
          <w:rFonts w:ascii="Times New Roman" w:hAnsi="Times New Roman"/>
          <w:sz w:val="24"/>
          <w:lang w:val="fr-FR"/>
        </w:rPr>
        <w:t>41</w:t>
      </w:r>
      <w:bookmarkEnd w:id="8"/>
      <w:r w:rsidRPr="004E4ED4">
        <w:rPr>
          <w:rFonts w:ascii="Times New Roman" w:hAnsi="Times New Roman"/>
          <w:sz w:val="24"/>
          <w:lang w:val="fr-FR"/>
        </w:rPr>
        <w:t xml:space="preserve">      Il appartient, dès lors, à la </w:t>
      </w:r>
      <w:r w:rsidRPr="004E4ED4">
        <w:rPr>
          <w:rFonts w:ascii="Times New Roman" w:hAnsi="Times New Roman"/>
          <w:b/>
          <w:sz w:val="24"/>
          <w:lang w:val="fr-FR"/>
        </w:rPr>
        <w:t>juridiction de renvoi</w:t>
      </w:r>
      <w:r w:rsidRPr="004E4ED4">
        <w:rPr>
          <w:rFonts w:ascii="Times New Roman" w:hAnsi="Times New Roman"/>
          <w:sz w:val="24"/>
          <w:lang w:val="fr-FR"/>
        </w:rPr>
        <w:t xml:space="preserve">, seule compétente pour apprécier les faits, d’examiner les liens éventuels de rattachement entre le requérant au principal et la République fédérale d’Allemagne, dans la mesure où M. </w:t>
      </w:r>
      <w:proofErr w:type="spellStart"/>
      <w:r w:rsidRPr="004E4ED4">
        <w:rPr>
          <w:rFonts w:ascii="Times New Roman" w:hAnsi="Times New Roman"/>
          <w:sz w:val="24"/>
          <w:lang w:val="fr-FR"/>
        </w:rPr>
        <w:t>Thiele</w:t>
      </w:r>
      <w:proofErr w:type="spellEnd"/>
      <w:r w:rsidRPr="004E4ED4">
        <w:rPr>
          <w:rFonts w:ascii="Times New Roman" w:hAnsi="Times New Roman"/>
          <w:sz w:val="24"/>
          <w:lang w:val="fr-FR"/>
        </w:rPr>
        <w:t xml:space="preserve"> </w:t>
      </w:r>
      <w:proofErr w:type="spellStart"/>
      <w:r w:rsidRPr="004E4ED4">
        <w:rPr>
          <w:rFonts w:ascii="Times New Roman" w:hAnsi="Times New Roman"/>
          <w:sz w:val="24"/>
          <w:lang w:val="fr-FR"/>
        </w:rPr>
        <w:t>Meneses</w:t>
      </w:r>
      <w:proofErr w:type="spellEnd"/>
      <w:r w:rsidRPr="004E4ED4">
        <w:rPr>
          <w:rFonts w:ascii="Times New Roman" w:hAnsi="Times New Roman"/>
          <w:sz w:val="24"/>
          <w:lang w:val="fr-FR"/>
        </w:rPr>
        <w:t xml:space="preserve"> ressortissant allemand, né au Brésil, n’a jamais résidé en Allemagne, mais a accompli sa scolarité dans des écoles allemandes en Espagne et en Turquie.</w:t>
      </w:r>
    </w:p>
    <w:p w:rsidR="006D10C3" w:rsidRPr="004E4ED4" w:rsidRDefault="006D10C3" w:rsidP="008E069E">
      <w:pPr>
        <w:spacing w:before="120" w:line="360" w:lineRule="auto"/>
        <w:rPr>
          <w:rFonts w:ascii="Times New Roman" w:hAnsi="Times New Roman"/>
          <w:lang w:val="fr-FR"/>
        </w:rPr>
      </w:pPr>
    </w:p>
    <w:p w:rsidR="004B6524" w:rsidRPr="004E4ED4" w:rsidRDefault="004B6524" w:rsidP="008E069E">
      <w:pPr>
        <w:spacing w:before="120" w:line="360" w:lineRule="auto"/>
        <w:rPr>
          <w:rFonts w:ascii="Times New Roman" w:hAnsi="Times New Roman"/>
          <w:lang w:val="fr-FR"/>
        </w:rPr>
      </w:pPr>
    </w:p>
    <w:p w:rsidR="004B6524" w:rsidRPr="004E4ED4" w:rsidRDefault="004B6524" w:rsidP="008E069E">
      <w:pPr>
        <w:spacing w:before="120" w:line="360" w:lineRule="auto"/>
        <w:rPr>
          <w:rFonts w:ascii="Times New Roman" w:hAnsi="Times New Roman"/>
          <w:lang w:val="fr-FR"/>
        </w:rPr>
      </w:pPr>
    </w:p>
    <w:p w:rsidR="00597DA6" w:rsidRPr="004E4ED4" w:rsidRDefault="004B6524" w:rsidP="008E069E">
      <w:pPr>
        <w:spacing w:before="120" w:line="360" w:lineRule="auto"/>
        <w:jc w:val="both"/>
        <w:rPr>
          <w:rFonts w:ascii="Times New Roman" w:hAnsi="Times New Roman"/>
          <w:lang w:val="fr-FR"/>
        </w:rPr>
      </w:pPr>
      <w:r w:rsidRPr="004E4ED4">
        <w:rPr>
          <w:rFonts w:ascii="Times New Roman" w:hAnsi="Times New Roman"/>
          <w:b/>
          <w:lang w:val="fr-FR"/>
        </w:rPr>
        <w:t>Le juge national</w:t>
      </w:r>
      <w:r w:rsidRPr="004E4ED4">
        <w:rPr>
          <w:rFonts w:ascii="Times New Roman" w:hAnsi="Times New Roman"/>
          <w:lang w:val="fr-FR"/>
        </w:rPr>
        <w:t xml:space="preserve"> est si on ose dire « </w:t>
      </w:r>
      <w:r w:rsidRPr="004E4ED4">
        <w:rPr>
          <w:rFonts w:ascii="Times New Roman" w:hAnsi="Times New Roman"/>
          <w:b/>
          <w:lang w:val="fr-FR"/>
        </w:rPr>
        <w:t>pris entre le marteau et l’enclume </w:t>
      </w:r>
      <w:r w:rsidRPr="004E4ED4">
        <w:rPr>
          <w:rFonts w:ascii="Times New Roman" w:hAnsi="Times New Roman"/>
          <w:lang w:val="fr-FR"/>
        </w:rPr>
        <w:t xml:space="preserve">» : il doit respecter le statut fondamental et tous les droits y </w:t>
      </w:r>
      <w:r w:rsidR="00B31356" w:rsidRPr="004E4ED4">
        <w:rPr>
          <w:rFonts w:ascii="Times New Roman" w:hAnsi="Times New Roman"/>
          <w:lang w:val="fr-FR"/>
        </w:rPr>
        <w:t>afférant</w:t>
      </w:r>
      <w:r w:rsidRPr="004E4ED4">
        <w:rPr>
          <w:rFonts w:ascii="Times New Roman" w:hAnsi="Times New Roman"/>
          <w:lang w:val="fr-FR"/>
        </w:rPr>
        <w:t xml:space="preserve">, tout en </w:t>
      </w:r>
      <w:r w:rsidR="00B31356" w:rsidRPr="004E4ED4">
        <w:rPr>
          <w:rFonts w:ascii="Times New Roman" w:hAnsi="Times New Roman"/>
          <w:lang w:val="fr-FR"/>
        </w:rPr>
        <w:t xml:space="preserve">laissant au autorités nationales une large marge d’appréciation si la matière n’est pas régie par le droit de l’Union et </w:t>
      </w:r>
      <w:r w:rsidR="00D92C7D" w:rsidRPr="004E4ED4">
        <w:rPr>
          <w:rFonts w:ascii="Times New Roman" w:hAnsi="Times New Roman"/>
          <w:lang w:val="fr-FR"/>
        </w:rPr>
        <w:t xml:space="preserve">lorsque </w:t>
      </w:r>
      <w:r w:rsidR="00B31356" w:rsidRPr="004E4ED4">
        <w:rPr>
          <w:rFonts w:ascii="Times New Roman" w:hAnsi="Times New Roman"/>
          <w:lang w:val="fr-FR"/>
        </w:rPr>
        <w:t>des intérêts légitimes des EM sont en jeu.</w:t>
      </w:r>
    </w:p>
    <w:p w:rsidR="004D6C08" w:rsidRPr="004E4ED4" w:rsidRDefault="004D6C08" w:rsidP="008E069E">
      <w:pPr>
        <w:spacing w:before="120" w:line="360" w:lineRule="auto"/>
        <w:rPr>
          <w:rFonts w:ascii="Times New Roman" w:hAnsi="Times New Roman"/>
          <w:lang w:val="fr-FR"/>
        </w:rPr>
      </w:pPr>
    </w:p>
    <w:p w:rsidR="00255CDD" w:rsidRPr="004E4ED4" w:rsidRDefault="00615726" w:rsidP="008E069E">
      <w:pPr>
        <w:pStyle w:val="Heading1"/>
        <w:spacing w:before="120" w:line="360" w:lineRule="auto"/>
        <w:rPr>
          <w:rFonts w:ascii="Times New Roman" w:hAnsi="Times New Roman"/>
          <w:color w:val="auto"/>
          <w:sz w:val="24"/>
          <w:lang w:val="fr-FR"/>
        </w:rPr>
      </w:pPr>
      <w:r w:rsidRPr="004E4ED4">
        <w:rPr>
          <w:rFonts w:ascii="Times New Roman" w:hAnsi="Times New Roman"/>
          <w:color w:val="auto"/>
          <w:sz w:val="24"/>
          <w:lang w:val="fr-FR"/>
        </w:rPr>
        <w:br w:type="page"/>
      </w:r>
      <w:r w:rsidR="004F48DC" w:rsidRPr="004E4ED4">
        <w:rPr>
          <w:rFonts w:ascii="Times New Roman" w:hAnsi="Times New Roman"/>
          <w:color w:val="auto"/>
          <w:sz w:val="24"/>
          <w:lang w:val="fr-FR"/>
        </w:rPr>
        <w:t>II. Le droit de c</w:t>
      </w:r>
      <w:r w:rsidR="002D4818" w:rsidRPr="004E4ED4">
        <w:rPr>
          <w:rFonts w:ascii="Times New Roman" w:hAnsi="Times New Roman"/>
          <w:color w:val="auto"/>
          <w:sz w:val="24"/>
          <w:lang w:val="fr-FR"/>
        </w:rPr>
        <w:t xml:space="preserve">irculation et </w:t>
      </w:r>
      <w:r w:rsidR="000F274D" w:rsidRPr="004E4ED4">
        <w:rPr>
          <w:rFonts w:ascii="Times New Roman" w:hAnsi="Times New Roman"/>
          <w:color w:val="auto"/>
          <w:sz w:val="24"/>
          <w:lang w:val="fr-FR"/>
        </w:rPr>
        <w:t xml:space="preserve">de </w:t>
      </w:r>
      <w:r w:rsidR="002D4818" w:rsidRPr="004E4ED4">
        <w:rPr>
          <w:rFonts w:ascii="Times New Roman" w:hAnsi="Times New Roman"/>
          <w:color w:val="auto"/>
          <w:sz w:val="24"/>
          <w:lang w:val="fr-FR"/>
        </w:rPr>
        <w:t>séjour de</w:t>
      </w:r>
      <w:r w:rsidR="000F274D" w:rsidRPr="004E4ED4">
        <w:rPr>
          <w:rFonts w:ascii="Times New Roman" w:hAnsi="Times New Roman"/>
          <w:color w:val="auto"/>
          <w:sz w:val="24"/>
          <w:lang w:val="fr-FR"/>
        </w:rPr>
        <w:t>s</w:t>
      </w:r>
      <w:r w:rsidR="002D4818" w:rsidRPr="004E4ED4">
        <w:rPr>
          <w:rFonts w:ascii="Times New Roman" w:hAnsi="Times New Roman"/>
          <w:color w:val="auto"/>
          <w:sz w:val="24"/>
          <w:lang w:val="fr-FR"/>
        </w:rPr>
        <w:t xml:space="preserve"> r</w:t>
      </w:r>
      <w:r w:rsidR="004D6C08" w:rsidRPr="004E4ED4">
        <w:rPr>
          <w:rFonts w:ascii="Times New Roman" w:hAnsi="Times New Roman"/>
          <w:color w:val="auto"/>
          <w:sz w:val="24"/>
          <w:lang w:val="fr-FR"/>
        </w:rPr>
        <w:t>essortissant</w:t>
      </w:r>
      <w:r w:rsidR="002D4818" w:rsidRPr="004E4ED4">
        <w:rPr>
          <w:rFonts w:ascii="Times New Roman" w:hAnsi="Times New Roman"/>
          <w:color w:val="auto"/>
          <w:sz w:val="24"/>
          <w:lang w:val="fr-FR"/>
        </w:rPr>
        <w:t>s</w:t>
      </w:r>
      <w:r w:rsidR="004D6C08" w:rsidRPr="004E4ED4">
        <w:rPr>
          <w:rFonts w:ascii="Times New Roman" w:hAnsi="Times New Roman"/>
          <w:color w:val="auto"/>
          <w:sz w:val="24"/>
          <w:lang w:val="fr-FR"/>
        </w:rPr>
        <w:t xml:space="preserve"> d’Etat tiers membre</w:t>
      </w:r>
      <w:r w:rsidR="002D4818" w:rsidRPr="004E4ED4">
        <w:rPr>
          <w:rFonts w:ascii="Times New Roman" w:hAnsi="Times New Roman"/>
          <w:color w:val="auto"/>
          <w:sz w:val="24"/>
          <w:lang w:val="fr-FR"/>
        </w:rPr>
        <w:t>s</w:t>
      </w:r>
      <w:r w:rsidR="004D6C08" w:rsidRPr="004E4ED4">
        <w:rPr>
          <w:rFonts w:ascii="Times New Roman" w:hAnsi="Times New Roman"/>
          <w:color w:val="auto"/>
          <w:sz w:val="24"/>
          <w:lang w:val="fr-FR"/>
        </w:rPr>
        <w:t xml:space="preserve"> de la famille d’un citoyen de l’Union </w:t>
      </w:r>
    </w:p>
    <w:p w:rsidR="00615726" w:rsidRPr="004E4ED4" w:rsidRDefault="00615726" w:rsidP="008E069E">
      <w:pPr>
        <w:spacing w:before="120" w:line="360" w:lineRule="auto"/>
        <w:rPr>
          <w:rFonts w:ascii="Times New Roman" w:hAnsi="Times New Roman"/>
          <w:lang w:val="fr-FR"/>
        </w:rPr>
      </w:pPr>
    </w:p>
    <w:p w:rsidR="002D1BCC" w:rsidRPr="004E4ED4" w:rsidRDefault="002D1BCC" w:rsidP="008E069E">
      <w:pPr>
        <w:spacing w:before="120" w:line="360" w:lineRule="auto"/>
        <w:ind w:left="720"/>
        <w:rPr>
          <w:rFonts w:ascii="Times New Roman" w:hAnsi="Times New Roman"/>
          <w:lang w:val="fr-FR"/>
        </w:rPr>
      </w:pPr>
      <w:r w:rsidRPr="004E4ED4">
        <w:rPr>
          <w:rFonts w:ascii="Times New Roman" w:hAnsi="Times New Roman"/>
          <w:lang w:val="fr-FR"/>
        </w:rPr>
        <w:t xml:space="preserve">CJUE, 8 mai 2013, </w:t>
      </w:r>
      <w:proofErr w:type="spellStart"/>
      <w:r w:rsidRPr="004E4ED4">
        <w:rPr>
          <w:rFonts w:ascii="Times New Roman" w:hAnsi="Times New Roman"/>
          <w:b/>
          <w:lang w:val="fr-FR"/>
        </w:rPr>
        <w:t>Ymeraga</w:t>
      </w:r>
      <w:proofErr w:type="spellEnd"/>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C-87/12,</w:t>
      </w:r>
      <w:r w:rsidR="00A635A8" w:rsidRPr="004E4ED4">
        <w:rPr>
          <w:rFonts w:ascii="Times New Roman" w:hAnsi="Times New Roman"/>
          <w:lang w:val="fr-FR"/>
        </w:rPr>
        <w:t xml:space="preserve"> </w:t>
      </w:r>
      <w:r w:rsidR="00A635A8" w:rsidRPr="004E4ED4">
        <w:rPr>
          <w:rFonts w:ascii="Times New Roman" w:hAnsi="Times New Roman"/>
          <w:lang w:val="fr-LU"/>
        </w:rPr>
        <w:t>non encore publié,</w:t>
      </w:r>
      <w:r w:rsidRPr="004E4ED4">
        <w:rPr>
          <w:rFonts w:ascii="Times New Roman" w:hAnsi="Times New Roman"/>
          <w:lang w:val="fr-FR"/>
        </w:rPr>
        <w:t xml:space="preserve"> </w:t>
      </w:r>
      <w:r w:rsidR="00A635A8" w:rsidRPr="004E4ED4">
        <w:rPr>
          <w:rFonts w:ascii="Times New Roman" w:hAnsi="Times New Roman"/>
          <w:lang w:val="fr-FR"/>
        </w:rPr>
        <w:t>P</w:t>
      </w:r>
      <w:r w:rsidRPr="004E4ED4">
        <w:rPr>
          <w:rFonts w:ascii="Times New Roman" w:hAnsi="Times New Roman"/>
          <w:lang w:val="fr-FR"/>
        </w:rPr>
        <w:t>oint 34 :</w:t>
      </w:r>
    </w:p>
    <w:p w:rsidR="002D1BCC" w:rsidRPr="004E4ED4" w:rsidRDefault="002D1BCC" w:rsidP="008E069E">
      <w:pPr>
        <w:spacing w:before="120" w:line="360" w:lineRule="auto"/>
        <w:ind w:left="720"/>
        <w:rPr>
          <w:rFonts w:ascii="Times New Roman" w:hAnsi="Times New Roman"/>
          <w:lang w:val="fr-FR"/>
        </w:rPr>
      </w:pPr>
      <w:r w:rsidRPr="004E4ED4">
        <w:rPr>
          <w:rFonts w:ascii="Times New Roman" w:hAnsi="Times New Roman"/>
          <w:lang w:val="fr-FR"/>
        </w:rPr>
        <w:t>“</w:t>
      </w:r>
      <w:proofErr w:type="gramStart"/>
      <w:r w:rsidRPr="004E4ED4">
        <w:rPr>
          <w:rFonts w:ascii="Times New Roman" w:hAnsi="Times New Roman"/>
          <w:lang w:val="fr-FR"/>
        </w:rPr>
        <w:t>il</w:t>
      </w:r>
      <w:proofErr w:type="gramEnd"/>
      <w:r w:rsidRPr="004E4ED4">
        <w:rPr>
          <w:rFonts w:ascii="Times New Roman" w:hAnsi="Times New Roman"/>
          <w:lang w:val="fr-FR"/>
        </w:rPr>
        <w:t xml:space="preserve"> convient de relever que les dispositions du traité concernant la citoyenneté de l’Union ne confèrent aucun droit autonome aux ressortissants de pays tiers”</w:t>
      </w:r>
    </w:p>
    <w:p w:rsidR="002D1BCC" w:rsidRPr="004E4ED4" w:rsidRDefault="002D1BCC" w:rsidP="008E069E">
      <w:pPr>
        <w:spacing w:before="120" w:line="360" w:lineRule="auto"/>
        <w:ind w:left="720"/>
        <w:rPr>
          <w:rFonts w:ascii="Times New Roman" w:hAnsi="Times New Roman"/>
          <w:lang w:val="fr-FR"/>
        </w:rPr>
      </w:pPr>
    </w:p>
    <w:p w:rsidR="002D1BCC" w:rsidRPr="004E4ED4" w:rsidRDefault="002D1BCC" w:rsidP="008E069E">
      <w:pPr>
        <w:spacing w:before="120" w:line="360" w:lineRule="auto"/>
        <w:ind w:left="720"/>
        <w:rPr>
          <w:rFonts w:ascii="Times New Roman" w:hAnsi="Times New Roman"/>
          <w:lang w:val="fr-FR"/>
        </w:rPr>
      </w:pPr>
      <w:r w:rsidRPr="004E4ED4">
        <w:rPr>
          <w:rFonts w:ascii="Times New Roman" w:hAnsi="Times New Roman"/>
          <w:lang w:val="fr-FR"/>
        </w:rPr>
        <w:t xml:space="preserve">Ceux-ci </w:t>
      </w:r>
      <w:r w:rsidR="008E4FD0" w:rsidRPr="004E4ED4">
        <w:rPr>
          <w:rFonts w:ascii="Times New Roman" w:hAnsi="Times New Roman"/>
          <w:lang w:val="fr-FR"/>
        </w:rPr>
        <w:t xml:space="preserve">ne bénéficient </w:t>
      </w:r>
      <w:r w:rsidRPr="004E4ED4">
        <w:rPr>
          <w:rFonts w:ascii="Times New Roman" w:hAnsi="Times New Roman"/>
          <w:lang w:val="fr-FR"/>
        </w:rPr>
        <w:t xml:space="preserve">donc </w:t>
      </w:r>
      <w:r w:rsidR="008E4FD0" w:rsidRPr="004E4ED4">
        <w:rPr>
          <w:rFonts w:ascii="Times New Roman" w:hAnsi="Times New Roman"/>
          <w:lang w:val="fr-FR"/>
        </w:rPr>
        <w:t xml:space="preserve">que de </w:t>
      </w:r>
      <w:r w:rsidR="008E4FD0" w:rsidRPr="004E4ED4">
        <w:rPr>
          <w:rFonts w:ascii="Times New Roman" w:hAnsi="Times New Roman"/>
          <w:b/>
          <w:lang w:val="fr-FR"/>
        </w:rPr>
        <w:t>droits dérivés</w:t>
      </w:r>
      <w:r w:rsidR="008E4FD0" w:rsidRPr="004E4ED4">
        <w:rPr>
          <w:rFonts w:ascii="Times New Roman" w:hAnsi="Times New Roman"/>
          <w:lang w:val="fr-FR"/>
        </w:rPr>
        <w:t xml:space="preserve">. </w:t>
      </w:r>
    </w:p>
    <w:p w:rsidR="002D1BCC" w:rsidRPr="004E4ED4" w:rsidRDefault="008E4FD0" w:rsidP="008E069E">
      <w:pPr>
        <w:spacing w:before="120" w:line="360" w:lineRule="auto"/>
        <w:ind w:left="720"/>
        <w:rPr>
          <w:rFonts w:ascii="Times New Roman" w:hAnsi="Times New Roman"/>
          <w:lang w:val="fr-FR"/>
        </w:rPr>
      </w:pPr>
      <w:r w:rsidRPr="004E4ED4">
        <w:rPr>
          <w:rFonts w:ascii="Times New Roman" w:hAnsi="Times New Roman"/>
          <w:lang w:val="fr-FR"/>
        </w:rPr>
        <w:t xml:space="preserve">CJUE, </w:t>
      </w:r>
      <w:r w:rsidR="0036393C" w:rsidRPr="004E4ED4">
        <w:rPr>
          <w:rFonts w:ascii="Times New Roman" w:hAnsi="Times New Roman"/>
          <w:lang w:val="fr-FR"/>
        </w:rPr>
        <w:t xml:space="preserve">10 octobre 2013, </w:t>
      </w:r>
      <w:proofErr w:type="spellStart"/>
      <w:r w:rsidRPr="004E4ED4">
        <w:rPr>
          <w:rFonts w:ascii="Times New Roman" w:hAnsi="Times New Roman"/>
          <w:b/>
          <w:lang w:val="fr-FR"/>
        </w:rPr>
        <w:t>Alokpa</w:t>
      </w:r>
      <w:proofErr w:type="spellEnd"/>
      <w:r w:rsidRPr="004E4ED4">
        <w:rPr>
          <w:rFonts w:ascii="Times New Roman" w:hAnsi="Times New Roman"/>
          <w:lang w:val="fr-FR"/>
        </w:rPr>
        <w:t>,</w:t>
      </w:r>
      <w:r w:rsidR="00A635A8" w:rsidRPr="004E4ED4">
        <w:rPr>
          <w:rFonts w:ascii="Times New Roman" w:hAnsi="Times New Roman"/>
          <w:lang w:val="fr-FR"/>
        </w:rPr>
        <w:t xml:space="preserve"> </w:t>
      </w:r>
      <w:proofErr w:type="spellStart"/>
      <w:r w:rsidR="00A635A8" w:rsidRPr="004E4ED4">
        <w:rPr>
          <w:rFonts w:ascii="Times New Roman" w:hAnsi="Times New Roman"/>
          <w:lang w:val="fr-FR"/>
        </w:rPr>
        <w:t>aff</w:t>
      </w:r>
      <w:proofErr w:type="spellEnd"/>
      <w:r w:rsidR="00A635A8" w:rsidRPr="004E4ED4">
        <w:rPr>
          <w:rFonts w:ascii="Times New Roman" w:hAnsi="Times New Roman"/>
          <w:lang w:val="fr-FR"/>
        </w:rPr>
        <w:t xml:space="preserve">. </w:t>
      </w:r>
      <w:r w:rsidR="00A635A8" w:rsidRPr="004E4ED4">
        <w:rPr>
          <w:rFonts w:ascii="Times New Roman" w:hAnsi="Times New Roman"/>
          <w:lang w:val="fr-LU"/>
        </w:rPr>
        <w:t>C-86/12,</w:t>
      </w:r>
      <w:r w:rsidR="00A635A8" w:rsidRPr="004E4ED4">
        <w:rPr>
          <w:rFonts w:ascii="Times New Roman" w:hAnsi="Times New Roman"/>
          <w:lang w:val="fr-FR"/>
        </w:rPr>
        <w:t xml:space="preserve"> </w:t>
      </w:r>
      <w:r w:rsidR="00A635A8" w:rsidRPr="004E4ED4">
        <w:rPr>
          <w:rFonts w:ascii="Times New Roman" w:hAnsi="Times New Roman"/>
          <w:lang w:val="fr-LU"/>
        </w:rPr>
        <w:t>non encore publié,</w:t>
      </w:r>
      <w:r w:rsidRPr="004E4ED4">
        <w:rPr>
          <w:rFonts w:ascii="Times New Roman" w:hAnsi="Times New Roman"/>
          <w:lang w:val="fr-FR"/>
        </w:rPr>
        <w:t xml:space="preserve"> </w:t>
      </w:r>
      <w:r w:rsidR="00A635A8" w:rsidRPr="004E4ED4">
        <w:rPr>
          <w:rFonts w:ascii="Times New Roman" w:hAnsi="Times New Roman"/>
          <w:lang w:val="fr-FR"/>
        </w:rPr>
        <w:t>P</w:t>
      </w:r>
      <w:r w:rsidRPr="004E4ED4">
        <w:rPr>
          <w:rFonts w:ascii="Times New Roman" w:hAnsi="Times New Roman"/>
          <w:lang w:val="fr-FR"/>
        </w:rPr>
        <w:t xml:space="preserve">oint 22 : </w:t>
      </w:r>
    </w:p>
    <w:p w:rsidR="0036393C" w:rsidRPr="004E4ED4" w:rsidRDefault="0036393C" w:rsidP="008E069E">
      <w:pPr>
        <w:spacing w:before="120" w:line="360" w:lineRule="auto"/>
        <w:ind w:left="720"/>
        <w:rPr>
          <w:rFonts w:ascii="Times New Roman" w:hAnsi="Times New Roman"/>
          <w:lang w:val="fr-FR"/>
        </w:rPr>
      </w:pPr>
      <w:r w:rsidRPr="004E4ED4">
        <w:rPr>
          <w:rFonts w:ascii="Times New Roman" w:hAnsi="Times New Roman"/>
          <w:lang w:val="fr-FR"/>
        </w:rPr>
        <w:t>« </w:t>
      </w:r>
      <w:proofErr w:type="gramStart"/>
      <w:r w:rsidR="008E4FD0" w:rsidRPr="004E4ED4">
        <w:rPr>
          <w:rFonts w:ascii="Times New Roman" w:hAnsi="Times New Roman"/>
          <w:lang w:val="fr-FR"/>
        </w:rPr>
        <w:t>les</w:t>
      </w:r>
      <w:proofErr w:type="gramEnd"/>
      <w:r w:rsidR="008E4FD0" w:rsidRPr="004E4ED4">
        <w:rPr>
          <w:rFonts w:ascii="Times New Roman" w:hAnsi="Times New Roman"/>
          <w:lang w:val="fr-FR"/>
        </w:rPr>
        <w:t xml:space="preserve"> éventuels droits conférés aux ressortissants de pays tiers par les dispositions du droit de l’Union concernant la citoyenneté de l’Union sont non pas des droits propres auxdits ressortissants, mais des </w:t>
      </w:r>
      <w:r w:rsidR="008E4FD0" w:rsidRPr="004E4ED4">
        <w:rPr>
          <w:rFonts w:ascii="Times New Roman" w:hAnsi="Times New Roman"/>
          <w:b/>
          <w:lang w:val="fr-FR"/>
        </w:rPr>
        <w:t>droits dérivés</w:t>
      </w:r>
      <w:r w:rsidR="008E4FD0" w:rsidRPr="004E4ED4">
        <w:rPr>
          <w:rFonts w:ascii="Times New Roman" w:hAnsi="Times New Roman"/>
          <w:lang w:val="fr-FR"/>
        </w:rPr>
        <w:t xml:space="preserve"> de l’exercice de la liberté de circulation par un citoyen de l’Union. La finalité et la justification desdits droits dérivés, notamment des droits d’entrée et de séjour des membres de la famille d’un citoyen de l’Union, se fondent sur la constatation que le refus de leur reconnaissance est de nature à porter atteinte à la liberté de circulation dudit citoyen, en le dissuadant d’exercer ses droits d’entrée et de séjour dans l’État membre d’accueil</w:t>
      </w:r>
      <w:r w:rsidRPr="004E4ED4">
        <w:rPr>
          <w:rFonts w:ascii="Times New Roman" w:hAnsi="Times New Roman"/>
          <w:lang w:val="fr-FR"/>
        </w:rPr>
        <w:t>”</w:t>
      </w:r>
    </w:p>
    <w:p w:rsidR="0036393C" w:rsidRPr="004E4ED4" w:rsidRDefault="0036393C" w:rsidP="008E069E">
      <w:pPr>
        <w:spacing w:before="120" w:line="360" w:lineRule="auto"/>
        <w:ind w:left="720"/>
        <w:rPr>
          <w:rFonts w:ascii="Times New Roman" w:hAnsi="Times New Roman"/>
          <w:lang w:val="fr-FR"/>
        </w:rPr>
      </w:pPr>
    </w:p>
    <w:p w:rsidR="0036393C" w:rsidRPr="004E4ED4" w:rsidRDefault="0036393C" w:rsidP="008E069E">
      <w:pPr>
        <w:spacing w:before="120" w:line="360" w:lineRule="auto"/>
        <w:ind w:left="720"/>
        <w:rPr>
          <w:rFonts w:ascii="Times New Roman" w:hAnsi="Times New Roman"/>
          <w:lang w:val="fr-FR"/>
        </w:rPr>
      </w:pPr>
      <w:r w:rsidRPr="004E4ED4">
        <w:rPr>
          <w:rFonts w:ascii="Times New Roman" w:hAnsi="Times New Roman"/>
          <w:lang w:val="fr-FR"/>
        </w:rPr>
        <w:t xml:space="preserve">Ils ne devraient donc logiquement bénéficier </w:t>
      </w:r>
      <w:r w:rsidR="00D92C7D" w:rsidRPr="004E4ED4">
        <w:rPr>
          <w:rFonts w:ascii="Times New Roman" w:hAnsi="Times New Roman"/>
          <w:lang w:val="fr-FR"/>
        </w:rPr>
        <w:t>qu’</w:t>
      </w:r>
      <w:r w:rsidRPr="004E4ED4">
        <w:rPr>
          <w:rFonts w:ascii="Times New Roman" w:hAnsi="Times New Roman"/>
          <w:lang w:val="fr-FR"/>
        </w:rPr>
        <w:t xml:space="preserve">aux </w:t>
      </w:r>
      <w:r w:rsidR="00D92C7D" w:rsidRPr="004E4ED4">
        <w:rPr>
          <w:rFonts w:ascii="Times New Roman" w:hAnsi="Times New Roman"/>
          <w:lang w:val="fr-FR"/>
        </w:rPr>
        <w:t xml:space="preserve">seuls </w:t>
      </w:r>
      <w:r w:rsidRPr="004E4ED4">
        <w:rPr>
          <w:rFonts w:ascii="Times New Roman" w:hAnsi="Times New Roman"/>
          <w:lang w:val="fr-FR"/>
        </w:rPr>
        <w:t>membres de la famille d’un citoyen “migrant”. (A)</w:t>
      </w:r>
    </w:p>
    <w:p w:rsidR="0036393C" w:rsidRPr="004E4ED4" w:rsidRDefault="0036393C" w:rsidP="008E069E">
      <w:pPr>
        <w:spacing w:before="120" w:line="360" w:lineRule="auto"/>
        <w:ind w:left="720"/>
        <w:rPr>
          <w:rFonts w:ascii="Times New Roman" w:hAnsi="Times New Roman"/>
          <w:lang w:val="fr-FR"/>
        </w:rPr>
      </w:pPr>
      <w:r w:rsidRPr="004E4ED4">
        <w:rPr>
          <w:rFonts w:ascii="Times New Roman" w:hAnsi="Times New Roman"/>
          <w:lang w:val="fr-FR"/>
        </w:rPr>
        <w:t>Ce n’est qu’exceptionnellement qu’ils bénéficient aussi aux membres de la famille d’un citoyen « sédentaire » (B)</w:t>
      </w:r>
    </w:p>
    <w:p w:rsidR="001320A3" w:rsidRPr="004E4ED4" w:rsidRDefault="001320A3" w:rsidP="008E069E">
      <w:pPr>
        <w:spacing w:before="120" w:line="360" w:lineRule="auto"/>
        <w:ind w:left="720"/>
        <w:rPr>
          <w:rFonts w:ascii="Times New Roman" w:hAnsi="Times New Roman"/>
          <w:lang w:val="fr-FR"/>
        </w:rPr>
      </w:pPr>
    </w:p>
    <w:p w:rsidR="004D6C08" w:rsidRPr="004E4ED4" w:rsidRDefault="007C150A" w:rsidP="008E069E">
      <w:pPr>
        <w:pStyle w:val="Heading2"/>
        <w:spacing w:before="120" w:line="360" w:lineRule="auto"/>
        <w:rPr>
          <w:rFonts w:ascii="Times New Roman" w:hAnsi="Times New Roman"/>
          <w:color w:val="auto"/>
          <w:sz w:val="24"/>
          <w:lang w:val="fr-FR"/>
        </w:rPr>
      </w:pPr>
      <w:r w:rsidRPr="004E4ED4">
        <w:rPr>
          <w:rFonts w:ascii="Times New Roman" w:hAnsi="Times New Roman"/>
          <w:color w:val="auto"/>
          <w:sz w:val="24"/>
          <w:lang w:val="fr-FR"/>
        </w:rPr>
        <w:t xml:space="preserve">A. </w:t>
      </w:r>
      <w:r w:rsidR="00A779A7" w:rsidRPr="004E4ED4">
        <w:rPr>
          <w:rFonts w:ascii="Times New Roman" w:hAnsi="Times New Roman"/>
          <w:color w:val="auto"/>
          <w:sz w:val="24"/>
          <w:lang w:val="fr-FR"/>
        </w:rPr>
        <w:t xml:space="preserve">Membres de la famille d’un citoyen </w:t>
      </w:r>
      <w:r w:rsidR="007638FC" w:rsidRPr="004E4ED4">
        <w:rPr>
          <w:rFonts w:ascii="Times New Roman" w:hAnsi="Times New Roman"/>
          <w:color w:val="auto"/>
          <w:sz w:val="24"/>
          <w:lang w:val="fr-FR"/>
        </w:rPr>
        <w:t>« migrant »</w:t>
      </w:r>
    </w:p>
    <w:p w:rsidR="0036393C" w:rsidRPr="004E4ED4" w:rsidRDefault="0036393C" w:rsidP="008E069E">
      <w:pPr>
        <w:spacing w:before="120" w:line="360" w:lineRule="auto"/>
        <w:rPr>
          <w:rFonts w:ascii="Times New Roman" w:hAnsi="Times New Roman"/>
          <w:lang w:val="fr-FR"/>
        </w:rPr>
      </w:pPr>
    </w:p>
    <w:p w:rsidR="00231F79" w:rsidRPr="004E4ED4" w:rsidRDefault="00231F79" w:rsidP="008E069E">
      <w:pPr>
        <w:spacing w:before="120" w:line="360" w:lineRule="auto"/>
        <w:rPr>
          <w:rFonts w:ascii="Times New Roman" w:hAnsi="Times New Roman"/>
          <w:lang w:val="fr-FR"/>
        </w:rPr>
      </w:pPr>
      <w:r w:rsidRPr="004E4ED4">
        <w:rPr>
          <w:rFonts w:ascii="Times New Roman" w:hAnsi="Times New Roman"/>
          <w:lang w:val="fr-FR"/>
        </w:rPr>
        <w:t>Il y a les (uns)</w:t>
      </w:r>
      <w:r w:rsidR="00D92C7D" w:rsidRPr="004E4ED4">
        <w:rPr>
          <w:rFonts w:ascii="Times New Roman" w:hAnsi="Times New Roman"/>
          <w:lang w:val="fr-FR"/>
        </w:rPr>
        <w:t>, les</w:t>
      </w:r>
      <w:r w:rsidRPr="004E4ED4">
        <w:rPr>
          <w:rFonts w:ascii="Times New Roman" w:hAnsi="Times New Roman"/>
          <w:lang w:val="fr-FR"/>
        </w:rPr>
        <w:t xml:space="preserve"> « membres » de la famille au sent étroit</w:t>
      </w:r>
      <w:r w:rsidR="00D92C7D" w:rsidRPr="004E4ED4">
        <w:rPr>
          <w:rFonts w:ascii="Times New Roman" w:hAnsi="Times New Roman"/>
          <w:lang w:val="fr-FR"/>
        </w:rPr>
        <w:t>,</w:t>
      </w:r>
      <w:r w:rsidRPr="004E4ED4">
        <w:rPr>
          <w:rFonts w:ascii="Times New Roman" w:hAnsi="Times New Roman"/>
          <w:lang w:val="fr-FR"/>
        </w:rPr>
        <w:t xml:space="preserve"> et « les autres membres » de la famille au sens élargi.</w:t>
      </w:r>
    </w:p>
    <w:p w:rsidR="000B4738" w:rsidRPr="004E4ED4" w:rsidRDefault="000B4738" w:rsidP="008E069E">
      <w:pPr>
        <w:spacing w:before="120" w:line="360" w:lineRule="auto"/>
        <w:rPr>
          <w:rFonts w:ascii="Times New Roman" w:hAnsi="Times New Roman"/>
          <w:lang w:val="fr-FR"/>
        </w:rPr>
      </w:pPr>
    </w:p>
    <w:p w:rsidR="004D6C08" w:rsidRPr="004E4ED4" w:rsidRDefault="00336529" w:rsidP="008E069E">
      <w:pPr>
        <w:pStyle w:val="Heading3"/>
        <w:spacing w:before="120" w:line="360" w:lineRule="auto"/>
        <w:ind w:firstLine="720"/>
        <w:rPr>
          <w:rFonts w:ascii="Times New Roman" w:hAnsi="Times New Roman"/>
          <w:color w:val="auto"/>
          <w:lang w:val="fr-FR"/>
        </w:rPr>
      </w:pPr>
      <w:r w:rsidRPr="004E4ED4">
        <w:rPr>
          <w:rFonts w:ascii="Times New Roman" w:hAnsi="Times New Roman"/>
          <w:color w:val="auto"/>
          <w:lang w:val="fr-FR"/>
        </w:rPr>
        <w:t xml:space="preserve">1. </w:t>
      </w:r>
      <w:r w:rsidR="000B4738" w:rsidRPr="004E4ED4">
        <w:rPr>
          <w:rFonts w:ascii="Times New Roman" w:hAnsi="Times New Roman"/>
          <w:color w:val="auto"/>
          <w:lang w:val="fr-FR"/>
        </w:rPr>
        <w:t xml:space="preserve">Membres de la famille au sens de </w:t>
      </w:r>
      <w:r w:rsidR="00E66190" w:rsidRPr="004E4ED4">
        <w:rPr>
          <w:rFonts w:ascii="Times New Roman" w:hAnsi="Times New Roman"/>
          <w:color w:val="auto"/>
          <w:lang w:val="fr-FR"/>
        </w:rPr>
        <w:t xml:space="preserve">l’article 2, paragraphe 2, de </w:t>
      </w:r>
      <w:r w:rsidR="000B4738" w:rsidRPr="004E4ED4">
        <w:rPr>
          <w:rFonts w:ascii="Times New Roman" w:hAnsi="Times New Roman"/>
          <w:color w:val="auto"/>
          <w:lang w:val="fr-FR"/>
        </w:rPr>
        <w:t>la direc</w:t>
      </w:r>
      <w:r w:rsidR="000B3C4C" w:rsidRPr="004E4ED4">
        <w:rPr>
          <w:rFonts w:ascii="Times New Roman" w:hAnsi="Times New Roman"/>
          <w:color w:val="auto"/>
          <w:lang w:val="fr-FR"/>
        </w:rPr>
        <w:t xml:space="preserve">tive </w:t>
      </w:r>
      <w:r w:rsidR="000B4738" w:rsidRPr="004E4ED4">
        <w:rPr>
          <w:rFonts w:ascii="Times New Roman" w:hAnsi="Times New Roman"/>
          <w:color w:val="auto"/>
          <w:lang w:val="fr-FR"/>
        </w:rPr>
        <w:t>2004</w:t>
      </w:r>
      <w:r w:rsidR="000B3C4C" w:rsidRPr="004E4ED4">
        <w:rPr>
          <w:rFonts w:ascii="Times New Roman" w:hAnsi="Times New Roman"/>
          <w:color w:val="auto"/>
          <w:lang w:val="fr-FR"/>
        </w:rPr>
        <w:t>/38</w:t>
      </w:r>
    </w:p>
    <w:p w:rsidR="00C75E98" w:rsidRPr="004E4ED4" w:rsidRDefault="007638FC" w:rsidP="008E069E">
      <w:pPr>
        <w:spacing w:before="120" w:line="360" w:lineRule="auto"/>
        <w:rPr>
          <w:rFonts w:ascii="Times New Roman" w:hAnsi="Times New Roman"/>
          <w:lang w:val="fr-FR"/>
        </w:rPr>
      </w:pPr>
      <w:r w:rsidRPr="004E4ED4">
        <w:rPr>
          <w:rFonts w:ascii="Times New Roman" w:hAnsi="Times New Roman"/>
          <w:lang w:val="fr-FR"/>
        </w:rPr>
        <w:tab/>
      </w:r>
    </w:p>
    <w:p w:rsidR="00D92C7D" w:rsidRPr="004E4ED4" w:rsidRDefault="00EF47EC" w:rsidP="008E069E">
      <w:pPr>
        <w:spacing w:before="120" w:line="360" w:lineRule="auto"/>
        <w:ind w:left="720"/>
        <w:rPr>
          <w:rFonts w:ascii="Times New Roman" w:hAnsi="Times New Roman"/>
          <w:lang w:val="fr-FR"/>
        </w:rPr>
      </w:pPr>
      <w:r w:rsidRPr="004E4ED4">
        <w:rPr>
          <w:rFonts w:ascii="Times New Roman" w:hAnsi="Times New Roman"/>
          <w:lang w:val="fr-FR"/>
        </w:rPr>
        <w:t>Il doit y avoir un « rapport intrinsèque avec la liberté de circulation du citoyen » (</w:t>
      </w:r>
      <w:r w:rsidR="00A635A8" w:rsidRPr="004E4ED4">
        <w:rPr>
          <w:rFonts w:ascii="Times New Roman" w:hAnsi="Times New Roman"/>
          <w:lang w:val="fr-FR"/>
        </w:rPr>
        <w:t xml:space="preserve">CJUE, 8 novembre 2012, </w:t>
      </w:r>
      <w:proofErr w:type="spellStart"/>
      <w:r w:rsidR="00A635A8" w:rsidRPr="004E4ED4">
        <w:rPr>
          <w:rFonts w:ascii="Times New Roman" w:hAnsi="Times New Roman"/>
          <w:b/>
          <w:lang w:val="fr-FR"/>
        </w:rPr>
        <w:t>Iida</w:t>
      </w:r>
      <w:proofErr w:type="spellEnd"/>
      <w:r w:rsidR="00A635A8" w:rsidRPr="004E4ED4">
        <w:rPr>
          <w:rFonts w:ascii="Times New Roman" w:hAnsi="Times New Roman"/>
          <w:lang w:val="fr-FR"/>
        </w:rPr>
        <w:t xml:space="preserve">, </w:t>
      </w:r>
      <w:proofErr w:type="spellStart"/>
      <w:r w:rsidR="00A635A8" w:rsidRPr="004E4ED4">
        <w:rPr>
          <w:rFonts w:ascii="Times New Roman" w:hAnsi="Times New Roman"/>
          <w:lang w:val="fr-FR"/>
        </w:rPr>
        <w:t>aff</w:t>
      </w:r>
      <w:proofErr w:type="spellEnd"/>
      <w:r w:rsidR="00A635A8" w:rsidRPr="004E4ED4">
        <w:rPr>
          <w:rFonts w:ascii="Times New Roman" w:hAnsi="Times New Roman"/>
          <w:lang w:val="fr-FR"/>
        </w:rPr>
        <w:t>. C-40/11,</w:t>
      </w:r>
      <w:r w:rsidR="00A635A8" w:rsidRPr="004E4ED4">
        <w:rPr>
          <w:rFonts w:ascii="Times New Roman" w:hAnsi="Times New Roman"/>
          <w:lang w:val="fr-LU"/>
        </w:rPr>
        <w:t xml:space="preserve"> non encore publié</w:t>
      </w:r>
      <w:r w:rsidRPr="004E4ED4">
        <w:rPr>
          <w:rFonts w:ascii="Times New Roman" w:hAnsi="Times New Roman"/>
          <w:lang w:val="fr-FR"/>
        </w:rPr>
        <w:t xml:space="preserve">, point 72) </w:t>
      </w:r>
    </w:p>
    <w:p w:rsidR="00D92C7D" w:rsidRPr="004E4ED4" w:rsidRDefault="00EF47EC" w:rsidP="008E069E">
      <w:pPr>
        <w:spacing w:before="120" w:line="360" w:lineRule="auto"/>
        <w:ind w:left="720"/>
        <w:rPr>
          <w:rFonts w:ascii="Times New Roman" w:hAnsi="Times New Roman"/>
          <w:lang w:val="fr-FR"/>
        </w:rPr>
      </w:pPr>
      <w:r w:rsidRPr="004E4ED4">
        <w:rPr>
          <w:rFonts w:ascii="Times New Roman" w:hAnsi="Times New Roman"/>
          <w:lang w:val="fr-FR"/>
        </w:rPr>
        <w:t xml:space="preserve">= </w:t>
      </w:r>
      <w:r w:rsidRPr="004E4ED4">
        <w:rPr>
          <w:rFonts w:ascii="Times New Roman" w:hAnsi="Times New Roman"/>
          <w:u w:val="single"/>
          <w:lang w:val="fr-FR"/>
        </w:rPr>
        <w:t xml:space="preserve">hypothèse </w:t>
      </w:r>
      <w:r w:rsidR="00A635A8" w:rsidRPr="004E4ED4">
        <w:rPr>
          <w:rFonts w:ascii="Times New Roman" w:hAnsi="Times New Roman"/>
          <w:lang w:val="fr-FR"/>
        </w:rPr>
        <w:t xml:space="preserve">CJUE, 19 octobre 2004, </w:t>
      </w:r>
      <w:r w:rsidR="00A635A8" w:rsidRPr="004E4ED4">
        <w:rPr>
          <w:rFonts w:ascii="Times New Roman" w:hAnsi="Times New Roman"/>
          <w:b/>
          <w:lang w:val="fr-FR"/>
        </w:rPr>
        <w:t>Zhu et Chen</w:t>
      </w:r>
      <w:r w:rsidR="00A635A8" w:rsidRPr="004E4ED4">
        <w:rPr>
          <w:rFonts w:ascii="Times New Roman" w:hAnsi="Times New Roman"/>
          <w:lang w:val="fr-FR"/>
        </w:rPr>
        <w:t xml:space="preserve">, </w:t>
      </w:r>
      <w:proofErr w:type="spellStart"/>
      <w:r w:rsidR="00A635A8" w:rsidRPr="004E4ED4">
        <w:rPr>
          <w:rFonts w:ascii="Times New Roman" w:hAnsi="Times New Roman"/>
          <w:lang w:val="fr-FR"/>
        </w:rPr>
        <w:t>aff</w:t>
      </w:r>
      <w:proofErr w:type="spellEnd"/>
      <w:r w:rsidR="00A635A8" w:rsidRPr="004E4ED4">
        <w:rPr>
          <w:rFonts w:ascii="Times New Roman" w:hAnsi="Times New Roman"/>
          <w:lang w:val="fr-FR"/>
        </w:rPr>
        <w:t xml:space="preserve">. C-200/02, Rec. </w:t>
      </w:r>
      <w:r w:rsidR="00A635A8" w:rsidRPr="004E4ED4">
        <w:rPr>
          <w:rFonts w:ascii="Times New Roman" w:hAnsi="Times New Roman"/>
          <w:lang w:val="fr-LU"/>
        </w:rPr>
        <w:t>2004 I-9925</w:t>
      </w:r>
      <w:r w:rsidR="00A635A8" w:rsidRPr="004E4ED4" w:rsidDel="00A635A8">
        <w:rPr>
          <w:rFonts w:ascii="Times New Roman" w:hAnsi="Times New Roman"/>
          <w:u w:val="single"/>
          <w:lang w:val="fr-FR"/>
        </w:rPr>
        <w:t xml:space="preserve"> </w:t>
      </w:r>
      <w:r w:rsidRPr="004E4ED4">
        <w:rPr>
          <w:rFonts w:ascii="Times New Roman" w:hAnsi="Times New Roman"/>
          <w:lang w:val="fr-FR"/>
        </w:rPr>
        <w:t xml:space="preserve">(ne pas priver d’effet utile le droit de séjour du citoyen), </w:t>
      </w:r>
    </w:p>
    <w:p w:rsidR="00D92C7D" w:rsidRPr="004E4ED4" w:rsidRDefault="00D92C7D" w:rsidP="008E069E">
      <w:pPr>
        <w:spacing w:before="120" w:line="360" w:lineRule="auto"/>
        <w:ind w:left="720"/>
        <w:rPr>
          <w:rFonts w:ascii="Times New Roman" w:hAnsi="Times New Roman"/>
          <w:lang w:val="fr-FR"/>
        </w:rPr>
      </w:pPr>
      <w:r w:rsidRPr="004E4ED4">
        <w:rPr>
          <w:rFonts w:ascii="Times New Roman" w:hAnsi="Times New Roman"/>
          <w:u w:val="single"/>
          <w:lang w:val="fr-FR"/>
        </w:rPr>
        <w:t xml:space="preserve">= </w:t>
      </w:r>
      <w:r w:rsidR="00EF47EC" w:rsidRPr="004E4ED4">
        <w:rPr>
          <w:rFonts w:ascii="Times New Roman" w:hAnsi="Times New Roman"/>
          <w:u w:val="single"/>
          <w:lang w:val="fr-FR"/>
        </w:rPr>
        <w:t xml:space="preserve">hypothèse </w:t>
      </w:r>
      <w:proofErr w:type="spellStart"/>
      <w:r w:rsidR="00EF47EC" w:rsidRPr="004E4ED4">
        <w:rPr>
          <w:rFonts w:ascii="Times New Roman" w:hAnsi="Times New Roman"/>
          <w:u w:val="single"/>
          <w:lang w:val="fr-FR"/>
        </w:rPr>
        <w:t>Eind</w:t>
      </w:r>
      <w:proofErr w:type="spellEnd"/>
      <w:r w:rsidR="00EF47EC" w:rsidRPr="004E4ED4">
        <w:rPr>
          <w:rFonts w:ascii="Times New Roman" w:hAnsi="Times New Roman"/>
          <w:lang w:val="fr-FR"/>
        </w:rPr>
        <w:t xml:space="preserve"> (CJUE, </w:t>
      </w:r>
      <w:r w:rsidR="00EE6B6E" w:rsidRPr="004E4ED4">
        <w:rPr>
          <w:rFonts w:ascii="Times New Roman" w:hAnsi="Times New Roman"/>
          <w:lang w:val="fr-FR"/>
        </w:rPr>
        <w:t xml:space="preserve">11 décembre 2007, </w:t>
      </w:r>
      <w:proofErr w:type="spellStart"/>
      <w:r w:rsidR="00E015B7" w:rsidRPr="004E4ED4">
        <w:rPr>
          <w:rFonts w:ascii="Times New Roman" w:hAnsi="Times New Roman"/>
          <w:b/>
          <w:lang w:val="fr-FR"/>
        </w:rPr>
        <w:t>Eind</w:t>
      </w:r>
      <w:proofErr w:type="spellEnd"/>
      <w:r w:rsidR="00EE6B6E" w:rsidRPr="004E4ED4">
        <w:rPr>
          <w:rFonts w:ascii="Times New Roman" w:hAnsi="Times New Roman"/>
          <w:lang w:val="fr-FR"/>
        </w:rPr>
        <w:t xml:space="preserve">, </w:t>
      </w:r>
      <w:proofErr w:type="spellStart"/>
      <w:r w:rsidR="00EE6B6E" w:rsidRPr="004E4ED4">
        <w:rPr>
          <w:rFonts w:ascii="Times New Roman" w:hAnsi="Times New Roman"/>
          <w:lang w:val="fr-FR"/>
        </w:rPr>
        <w:t>aff</w:t>
      </w:r>
      <w:proofErr w:type="spellEnd"/>
      <w:r w:rsidR="00EE6B6E" w:rsidRPr="004E4ED4">
        <w:rPr>
          <w:rFonts w:ascii="Times New Roman" w:hAnsi="Times New Roman"/>
          <w:lang w:val="fr-FR"/>
        </w:rPr>
        <w:t>. C-291/05</w:t>
      </w:r>
      <w:r w:rsidR="00A635A8" w:rsidRPr="004E4ED4">
        <w:rPr>
          <w:rFonts w:ascii="Times New Roman" w:hAnsi="Times New Roman"/>
          <w:lang w:val="fr-FR"/>
        </w:rPr>
        <w:t xml:space="preserve">, Rec. </w:t>
      </w:r>
      <w:r w:rsidR="00A635A8" w:rsidRPr="004E4ED4">
        <w:rPr>
          <w:rFonts w:ascii="Times New Roman" w:hAnsi="Times New Roman"/>
          <w:lang w:val="fr-LU"/>
        </w:rPr>
        <w:t>2007 I-10719</w:t>
      </w:r>
      <w:r w:rsidR="00EF47EC" w:rsidRPr="004E4ED4">
        <w:rPr>
          <w:rFonts w:ascii="Times New Roman" w:hAnsi="Times New Roman"/>
          <w:lang w:val="fr-FR"/>
        </w:rPr>
        <w:t xml:space="preserve">) ne pas dissuader </w:t>
      </w:r>
      <w:r w:rsidR="00EE6B6E" w:rsidRPr="004E4ED4">
        <w:rPr>
          <w:rFonts w:ascii="Times New Roman" w:hAnsi="Times New Roman"/>
          <w:lang w:val="fr-FR"/>
        </w:rPr>
        <w:t xml:space="preserve">le </w:t>
      </w:r>
      <w:r w:rsidRPr="004E4ED4">
        <w:rPr>
          <w:rFonts w:ascii="Times New Roman" w:hAnsi="Times New Roman"/>
          <w:lang w:val="fr-FR"/>
        </w:rPr>
        <w:t xml:space="preserve">citoyen d’exercer sa liberté </w:t>
      </w:r>
    </w:p>
    <w:p w:rsidR="00C75E98" w:rsidRPr="004E4ED4" w:rsidRDefault="00D92C7D" w:rsidP="008E069E">
      <w:pPr>
        <w:spacing w:before="120" w:line="360" w:lineRule="auto"/>
        <w:ind w:left="720"/>
        <w:rPr>
          <w:rFonts w:ascii="Times New Roman" w:hAnsi="Times New Roman"/>
          <w:lang w:val="fr-FR"/>
        </w:rPr>
      </w:pPr>
      <w:r w:rsidRPr="004E4ED4">
        <w:rPr>
          <w:rFonts w:ascii="Times New Roman" w:hAnsi="Times New Roman"/>
          <w:u w:val="single"/>
          <w:lang w:val="fr-FR"/>
        </w:rPr>
        <w:t xml:space="preserve">= </w:t>
      </w:r>
      <w:r w:rsidR="00EF47EC" w:rsidRPr="004E4ED4">
        <w:rPr>
          <w:rFonts w:ascii="Times New Roman" w:hAnsi="Times New Roman"/>
          <w:u w:val="single"/>
          <w:lang w:val="fr-FR"/>
        </w:rPr>
        <w:t xml:space="preserve">hypothèse </w:t>
      </w:r>
      <w:proofErr w:type="spellStart"/>
      <w:r w:rsidR="00EF47EC" w:rsidRPr="004E4ED4">
        <w:rPr>
          <w:rFonts w:ascii="Times New Roman" w:hAnsi="Times New Roman"/>
          <w:u w:val="single"/>
          <w:lang w:val="fr-FR"/>
        </w:rPr>
        <w:t>Dereci</w:t>
      </w:r>
      <w:proofErr w:type="spellEnd"/>
      <w:r w:rsidR="00EF47EC" w:rsidRPr="004E4ED4">
        <w:rPr>
          <w:rFonts w:ascii="Times New Roman" w:hAnsi="Times New Roman"/>
          <w:lang w:val="fr-FR"/>
        </w:rPr>
        <w:t xml:space="preserve"> </w:t>
      </w:r>
      <w:r w:rsidR="00EE6B6E" w:rsidRPr="004E4ED4">
        <w:rPr>
          <w:rFonts w:ascii="Times New Roman" w:hAnsi="Times New Roman"/>
          <w:lang w:val="fr-FR"/>
        </w:rPr>
        <w:t xml:space="preserve">(l’obliger de quitter le territoire de l’Union et le priver de la </w:t>
      </w:r>
      <w:proofErr w:type="gramStart"/>
      <w:r w:rsidR="00EE6B6E" w:rsidRPr="004E4ED4">
        <w:rPr>
          <w:rFonts w:ascii="Times New Roman" w:hAnsi="Times New Roman"/>
          <w:lang w:val="fr-FR"/>
        </w:rPr>
        <w:t>jouissance …)</w:t>
      </w:r>
      <w:proofErr w:type="gramEnd"/>
      <w:r w:rsidR="00EE6B6E" w:rsidRPr="004E4ED4">
        <w:rPr>
          <w:rFonts w:ascii="Times New Roman" w:hAnsi="Times New Roman"/>
          <w:lang w:val="fr-FR"/>
        </w:rPr>
        <w:t>.</w:t>
      </w:r>
    </w:p>
    <w:p w:rsidR="00CA155E" w:rsidRPr="004E4ED4" w:rsidRDefault="00231F79" w:rsidP="008E069E">
      <w:pPr>
        <w:spacing w:before="120" w:line="360" w:lineRule="auto"/>
        <w:ind w:left="720"/>
        <w:rPr>
          <w:rFonts w:ascii="Times New Roman" w:hAnsi="Times New Roman"/>
          <w:lang w:val="fr-FR"/>
        </w:rPr>
      </w:pPr>
      <w:r w:rsidRPr="004E4ED4">
        <w:rPr>
          <w:rFonts w:ascii="Times New Roman" w:hAnsi="Times New Roman"/>
          <w:lang w:val="fr-FR"/>
        </w:rPr>
        <w:t>CJUE, 5 septembre 20</w:t>
      </w:r>
      <w:r w:rsidR="00E90B84" w:rsidRPr="004E4ED4">
        <w:rPr>
          <w:rFonts w:ascii="Times New Roman" w:hAnsi="Times New Roman"/>
          <w:lang w:val="fr-FR"/>
        </w:rPr>
        <w:t xml:space="preserve">12, </w:t>
      </w:r>
      <w:r w:rsidR="00E90B84" w:rsidRPr="004E4ED4">
        <w:rPr>
          <w:rFonts w:ascii="Times New Roman" w:hAnsi="Times New Roman"/>
          <w:b/>
          <w:lang w:val="fr-FR"/>
        </w:rPr>
        <w:t>Rahman</w:t>
      </w:r>
      <w:r w:rsidR="00E90B84" w:rsidRPr="004E4ED4">
        <w:rPr>
          <w:rFonts w:ascii="Times New Roman" w:hAnsi="Times New Roman"/>
          <w:lang w:val="fr-FR"/>
        </w:rPr>
        <w:t>,</w:t>
      </w:r>
      <w:r w:rsidR="00A635A8" w:rsidRPr="004E4ED4">
        <w:rPr>
          <w:rFonts w:ascii="Times New Roman" w:hAnsi="Times New Roman"/>
          <w:lang w:val="fr-FR"/>
        </w:rPr>
        <w:t xml:space="preserve"> </w:t>
      </w:r>
      <w:proofErr w:type="spellStart"/>
      <w:r w:rsidR="00A635A8" w:rsidRPr="004E4ED4">
        <w:rPr>
          <w:rFonts w:ascii="Times New Roman" w:hAnsi="Times New Roman"/>
          <w:lang w:val="fr-FR"/>
        </w:rPr>
        <w:t>aff</w:t>
      </w:r>
      <w:proofErr w:type="spellEnd"/>
      <w:r w:rsidR="00A635A8" w:rsidRPr="004E4ED4">
        <w:rPr>
          <w:rFonts w:ascii="Times New Roman" w:hAnsi="Times New Roman"/>
          <w:lang w:val="fr-FR"/>
        </w:rPr>
        <w:t xml:space="preserve">. </w:t>
      </w:r>
      <w:r w:rsidR="00A635A8" w:rsidRPr="004E4ED4">
        <w:rPr>
          <w:rFonts w:ascii="Times New Roman" w:hAnsi="Times New Roman"/>
          <w:lang w:val="fr-LU"/>
        </w:rPr>
        <w:t>C-83/11</w:t>
      </w:r>
      <w:r w:rsidR="00A635A8" w:rsidRPr="004E4ED4">
        <w:rPr>
          <w:rFonts w:ascii="Times New Roman" w:hAnsi="Times New Roman"/>
          <w:lang w:val="fr-FR"/>
        </w:rPr>
        <w:t xml:space="preserve">, </w:t>
      </w:r>
      <w:r w:rsidR="00A635A8" w:rsidRPr="004E4ED4">
        <w:rPr>
          <w:rFonts w:ascii="Times New Roman" w:hAnsi="Times New Roman"/>
          <w:lang w:val="fr-LU"/>
        </w:rPr>
        <w:t xml:space="preserve">non encore publié, </w:t>
      </w:r>
      <w:r w:rsidR="00A635A8" w:rsidRPr="004E4ED4">
        <w:rPr>
          <w:rFonts w:ascii="Times New Roman" w:hAnsi="Times New Roman"/>
          <w:lang w:val="fr-FR"/>
        </w:rPr>
        <w:t>P</w:t>
      </w:r>
      <w:r w:rsidR="00E90B84" w:rsidRPr="004E4ED4">
        <w:rPr>
          <w:rFonts w:ascii="Times New Roman" w:hAnsi="Times New Roman"/>
          <w:lang w:val="fr-FR"/>
        </w:rPr>
        <w:t xml:space="preserve">oint 19: </w:t>
      </w:r>
      <w:r w:rsidR="004323D6" w:rsidRPr="004E4ED4">
        <w:rPr>
          <w:rFonts w:ascii="Times New Roman" w:hAnsi="Times New Roman"/>
          <w:lang w:val="fr-FR"/>
        </w:rPr>
        <w:t>« </w:t>
      </w:r>
      <w:r w:rsidR="00E90B84" w:rsidRPr="004E4ED4">
        <w:rPr>
          <w:rFonts w:ascii="Times New Roman" w:hAnsi="Times New Roman"/>
          <w:lang w:val="fr-FR"/>
        </w:rPr>
        <w:t>ils bénéficient</w:t>
      </w:r>
      <w:r w:rsidRPr="004E4ED4">
        <w:rPr>
          <w:rFonts w:ascii="Times New Roman" w:hAnsi="Times New Roman"/>
          <w:lang w:val="fr-FR"/>
        </w:rPr>
        <w:t>, dans les conditions énoncées dans la directive 2004/28, d’un droit d’entrée et de séjour dans l’E</w:t>
      </w:r>
      <w:r w:rsidR="004323D6" w:rsidRPr="004E4ED4">
        <w:rPr>
          <w:rFonts w:ascii="Times New Roman" w:hAnsi="Times New Roman"/>
          <w:lang w:val="fr-FR"/>
        </w:rPr>
        <w:t>tat membre d’accueil du citoyen »</w:t>
      </w:r>
      <w:r w:rsidR="00566651" w:rsidRPr="004E4ED4">
        <w:rPr>
          <w:rFonts w:ascii="Times New Roman" w:hAnsi="Times New Roman"/>
          <w:lang w:val="fr-FR"/>
        </w:rPr>
        <w:t xml:space="preserve"> = un droit automatique !</w:t>
      </w:r>
    </w:p>
    <w:p w:rsidR="00E90B84" w:rsidRPr="004E4ED4" w:rsidRDefault="00982981" w:rsidP="008E069E">
      <w:pPr>
        <w:spacing w:before="120" w:line="360" w:lineRule="auto"/>
        <w:rPr>
          <w:rFonts w:ascii="Times New Roman" w:hAnsi="Times New Roman"/>
          <w:lang w:val="fr-FR"/>
        </w:rPr>
      </w:pPr>
      <w:r w:rsidRPr="004E4ED4">
        <w:rPr>
          <w:rFonts w:ascii="Times New Roman" w:hAnsi="Times New Roman"/>
          <w:lang w:val="fr-FR"/>
        </w:rPr>
        <w:tab/>
      </w:r>
      <w:r w:rsidR="00E90B84" w:rsidRPr="004E4ED4">
        <w:rPr>
          <w:rFonts w:ascii="Times New Roman" w:hAnsi="Times New Roman"/>
          <w:lang w:val="fr-FR"/>
        </w:rPr>
        <w:t>Article 3, par.1, directive : « qui l’accompagnent ou le rejoignent »</w:t>
      </w:r>
    </w:p>
    <w:p w:rsidR="00231F79" w:rsidRPr="004E4ED4" w:rsidRDefault="00231F79" w:rsidP="008E069E">
      <w:pPr>
        <w:spacing w:before="120" w:line="360" w:lineRule="auto"/>
        <w:rPr>
          <w:rFonts w:ascii="Times New Roman" w:hAnsi="Times New Roman"/>
          <w:lang w:val="fr-FR"/>
        </w:rPr>
      </w:pPr>
    </w:p>
    <w:p w:rsidR="00566651" w:rsidRPr="004E4ED4" w:rsidRDefault="00982981" w:rsidP="008E069E">
      <w:pPr>
        <w:spacing w:before="120" w:line="360" w:lineRule="auto"/>
        <w:ind w:firstLine="720"/>
        <w:rPr>
          <w:rFonts w:ascii="Times New Roman" w:hAnsi="Times New Roman"/>
          <w:lang w:val="fr-LU"/>
        </w:rPr>
      </w:pPr>
      <w:r w:rsidRPr="004E4ED4">
        <w:rPr>
          <w:rFonts w:ascii="Times New Roman" w:hAnsi="Times New Roman"/>
          <w:lang w:val="fr-FR"/>
        </w:rPr>
        <w:t xml:space="preserve">CJUE, 17 septembre 2002, </w:t>
      </w:r>
      <w:proofErr w:type="spellStart"/>
      <w:r w:rsidRPr="004E4ED4">
        <w:rPr>
          <w:rFonts w:ascii="Times New Roman" w:hAnsi="Times New Roman"/>
          <w:b/>
          <w:lang w:val="fr-FR"/>
        </w:rPr>
        <w:t>Baumbast</w:t>
      </w:r>
      <w:proofErr w:type="spellEnd"/>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C-413/99</w:t>
      </w:r>
      <w:r w:rsidR="00A635A8" w:rsidRPr="004E4ED4">
        <w:rPr>
          <w:rFonts w:ascii="Times New Roman" w:hAnsi="Times New Roman"/>
          <w:lang w:val="fr-FR"/>
        </w:rPr>
        <w:t xml:space="preserve">, Rec. </w:t>
      </w:r>
      <w:r w:rsidR="00A635A8" w:rsidRPr="004E4ED4">
        <w:rPr>
          <w:rFonts w:ascii="Times New Roman" w:hAnsi="Times New Roman"/>
          <w:lang w:val="fr-LU"/>
        </w:rPr>
        <w:t>2002 I-7091</w:t>
      </w:r>
    </w:p>
    <w:p w:rsidR="00CA168F" w:rsidRPr="004E4ED4" w:rsidRDefault="00566651" w:rsidP="008E069E">
      <w:pPr>
        <w:spacing w:before="120" w:line="360" w:lineRule="auto"/>
        <w:ind w:firstLine="720"/>
        <w:rPr>
          <w:rFonts w:ascii="Times New Roman" w:hAnsi="Times New Roman"/>
          <w:lang w:val="fr-FR"/>
        </w:rPr>
      </w:pPr>
      <w:r w:rsidRPr="004E4ED4">
        <w:rPr>
          <w:rFonts w:ascii="Times New Roman" w:hAnsi="Times New Roman"/>
          <w:lang w:val="fr-FR"/>
        </w:rPr>
        <w:t>Même après le départ du citoyen</w:t>
      </w:r>
    </w:p>
    <w:p w:rsidR="00566651" w:rsidRPr="004E4ED4" w:rsidRDefault="00CA168F" w:rsidP="008E069E">
      <w:pPr>
        <w:spacing w:before="120" w:line="360" w:lineRule="auto"/>
        <w:ind w:left="1440"/>
        <w:rPr>
          <w:rFonts w:ascii="Times New Roman" w:hAnsi="Times New Roman"/>
          <w:lang w:val="fr-FR"/>
        </w:rPr>
      </w:pPr>
      <w:r w:rsidRPr="004E4ED4">
        <w:rPr>
          <w:rFonts w:ascii="Times New Roman" w:hAnsi="Times New Roman"/>
          <w:lang w:val="fr-FR"/>
        </w:rPr>
        <w:t>Point 52 : « empêcher l'enfant d'un citoyen de l'Union de continuer sa scolarité dans l'État membre d'accueil en lui refusant une autorisation de séjour pourrait être de nature à dissuader ledit citoyen d'exercer les droits de libre circulation prévus à l'article 39 CE et créerait donc une entrave à l'exercice effectif de la liberté ainsi garantie par le traité CE.”.</w:t>
      </w:r>
    </w:p>
    <w:p w:rsidR="00982981" w:rsidRPr="004E4ED4" w:rsidRDefault="00982981" w:rsidP="008E069E">
      <w:pPr>
        <w:spacing w:before="120" w:line="360" w:lineRule="auto"/>
        <w:ind w:firstLine="720"/>
        <w:rPr>
          <w:rFonts w:ascii="Times New Roman" w:hAnsi="Times New Roman"/>
          <w:lang w:val="fr-FR"/>
        </w:rPr>
      </w:pPr>
    </w:p>
    <w:p w:rsidR="001D76B4" w:rsidRPr="004E4ED4" w:rsidRDefault="00BA7134" w:rsidP="008E069E">
      <w:pPr>
        <w:spacing w:before="120" w:line="360" w:lineRule="auto"/>
        <w:ind w:left="720"/>
        <w:rPr>
          <w:rFonts w:ascii="Times New Roman" w:hAnsi="Times New Roman"/>
          <w:lang w:val="fr-FR"/>
        </w:rPr>
      </w:pPr>
      <w:r w:rsidRPr="004E4ED4">
        <w:rPr>
          <w:rFonts w:ascii="Times New Roman" w:hAnsi="Times New Roman"/>
          <w:lang w:val="fr-FR"/>
        </w:rPr>
        <w:t xml:space="preserve">CJUE, </w:t>
      </w:r>
      <w:r w:rsidR="0092156C" w:rsidRPr="004E4ED4">
        <w:rPr>
          <w:rFonts w:ascii="Times New Roman" w:hAnsi="Times New Roman"/>
          <w:lang w:val="fr-FR"/>
        </w:rPr>
        <w:t xml:space="preserve">23 septembre 2003, </w:t>
      </w:r>
      <w:proofErr w:type="spellStart"/>
      <w:r w:rsidR="0092156C" w:rsidRPr="004E4ED4">
        <w:rPr>
          <w:rFonts w:ascii="Times New Roman" w:hAnsi="Times New Roman"/>
          <w:b/>
          <w:lang w:val="fr-FR"/>
        </w:rPr>
        <w:t>Hacene</w:t>
      </w:r>
      <w:proofErr w:type="spellEnd"/>
      <w:r w:rsidR="0092156C" w:rsidRPr="004E4ED4">
        <w:rPr>
          <w:rFonts w:ascii="Times New Roman" w:hAnsi="Times New Roman"/>
          <w:b/>
          <w:lang w:val="fr-FR"/>
        </w:rPr>
        <w:t xml:space="preserve"> </w:t>
      </w:r>
      <w:proofErr w:type="spellStart"/>
      <w:r w:rsidRPr="004E4ED4">
        <w:rPr>
          <w:rFonts w:ascii="Times New Roman" w:hAnsi="Times New Roman"/>
          <w:b/>
          <w:lang w:val="fr-FR"/>
        </w:rPr>
        <w:t>Akrich</w:t>
      </w:r>
      <w:proofErr w:type="spellEnd"/>
      <w:r w:rsidRPr="004E4ED4">
        <w:rPr>
          <w:rFonts w:ascii="Times New Roman" w:hAnsi="Times New Roman"/>
          <w:lang w:val="fr-FR"/>
        </w:rPr>
        <w:t xml:space="preserve">, </w:t>
      </w:r>
      <w:proofErr w:type="spellStart"/>
      <w:r w:rsidR="0092156C" w:rsidRPr="004E4ED4">
        <w:rPr>
          <w:rFonts w:ascii="Times New Roman" w:hAnsi="Times New Roman"/>
          <w:lang w:val="fr-FR"/>
        </w:rPr>
        <w:t>aff</w:t>
      </w:r>
      <w:proofErr w:type="spellEnd"/>
      <w:r w:rsidR="0092156C" w:rsidRPr="004E4ED4">
        <w:rPr>
          <w:rFonts w:ascii="Times New Roman" w:hAnsi="Times New Roman"/>
          <w:lang w:val="fr-FR"/>
        </w:rPr>
        <w:t>. C-109/01,</w:t>
      </w:r>
      <w:r w:rsidR="00A635A8" w:rsidRPr="004E4ED4">
        <w:rPr>
          <w:rFonts w:ascii="Times New Roman" w:hAnsi="Times New Roman"/>
          <w:lang w:val="fr-FR"/>
        </w:rPr>
        <w:t xml:space="preserve"> Rec. </w:t>
      </w:r>
      <w:r w:rsidR="00A635A8" w:rsidRPr="004E4ED4">
        <w:rPr>
          <w:rFonts w:ascii="Times New Roman" w:hAnsi="Times New Roman"/>
        </w:rPr>
        <w:t>2003 I-9607</w:t>
      </w:r>
      <w:proofErr w:type="gramStart"/>
      <w:r w:rsidR="00A635A8" w:rsidRPr="004E4ED4">
        <w:rPr>
          <w:rFonts w:ascii="Times New Roman" w:hAnsi="Times New Roman"/>
        </w:rPr>
        <w:t>,</w:t>
      </w:r>
      <w:r w:rsidR="00A635A8" w:rsidRPr="004E4ED4">
        <w:rPr>
          <w:rFonts w:ascii="Times New Roman" w:hAnsi="Times New Roman"/>
          <w:lang w:val="fr-FR"/>
        </w:rPr>
        <w:t>P</w:t>
      </w:r>
      <w:r w:rsidR="00BF7EB9" w:rsidRPr="004E4ED4">
        <w:rPr>
          <w:rFonts w:ascii="Times New Roman" w:hAnsi="Times New Roman"/>
          <w:lang w:val="fr-FR"/>
        </w:rPr>
        <w:t>oint</w:t>
      </w:r>
      <w:proofErr w:type="gramEnd"/>
      <w:r w:rsidR="00BF7EB9" w:rsidRPr="004E4ED4">
        <w:rPr>
          <w:rFonts w:ascii="Times New Roman" w:hAnsi="Times New Roman"/>
          <w:lang w:val="fr-FR"/>
        </w:rPr>
        <w:t xml:space="preserve"> 50 </w:t>
      </w:r>
    </w:p>
    <w:p w:rsidR="00BF7EB9" w:rsidRPr="004E4ED4" w:rsidRDefault="001D76B4" w:rsidP="008E069E">
      <w:pPr>
        <w:spacing w:before="120" w:line="360" w:lineRule="auto"/>
        <w:ind w:left="1440"/>
        <w:rPr>
          <w:rFonts w:ascii="Times New Roman" w:hAnsi="Times New Roman"/>
          <w:lang w:val="fr-FR"/>
        </w:rPr>
      </w:pPr>
      <w:r w:rsidRPr="004E4ED4">
        <w:rPr>
          <w:rFonts w:ascii="Times New Roman" w:hAnsi="Times New Roman"/>
          <w:lang w:val="fr-FR"/>
        </w:rPr>
        <w:t>La condition du séjour légal</w:t>
      </w:r>
    </w:p>
    <w:p w:rsidR="001D76B4" w:rsidRPr="004E4ED4" w:rsidRDefault="00BF7EB9" w:rsidP="008E069E">
      <w:pPr>
        <w:spacing w:before="120" w:line="360" w:lineRule="auto"/>
        <w:ind w:left="1440"/>
        <w:rPr>
          <w:rFonts w:ascii="Times New Roman" w:hAnsi="Times New Roman"/>
          <w:lang w:val="fr-FR"/>
        </w:rPr>
      </w:pPr>
      <w:r w:rsidRPr="004E4ED4">
        <w:rPr>
          <w:rFonts w:ascii="Times New Roman" w:hAnsi="Times New Roman"/>
          <w:lang w:val="fr-FR"/>
        </w:rPr>
        <w:t>“Pour pouvoir bénéficier, dans une situation telle que celle en cause au principal des droits prévus à l'article 10 du règlement n° 1612/68, le ressortissant d'un pays tiers, conjoint d'un citoyen de l'Union, doit légalement séjourner dans un État membre lorsque son déplacement a lieu vers un autre État membre dans lequel le citoyen de l'Union migre ou a migré.”</w:t>
      </w:r>
    </w:p>
    <w:p w:rsidR="001D76B4" w:rsidRPr="004E4ED4" w:rsidRDefault="001D76B4" w:rsidP="008E069E">
      <w:pPr>
        <w:spacing w:before="120" w:line="360" w:lineRule="auto"/>
        <w:ind w:left="720"/>
        <w:rPr>
          <w:rFonts w:ascii="Times New Roman" w:hAnsi="Times New Roman"/>
          <w:lang w:val="fr-FR"/>
        </w:rPr>
      </w:pPr>
    </w:p>
    <w:p w:rsidR="00566651" w:rsidRPr="004E4ED4" w:rsidRDefault="00BF7EB9" w:rsidP="008E069E">
      <w:pPr>
        <w:spacing w:before="120" w:line="360" w:lineRule="auto"/>
        <w:ind w:left="720"/>
        <w:rPr>
          <w:rFonts w:ascii="Times New Roman" w:hAnsi="Times New Roman"/>
          <w:lang w:val="fr-FR"/>
        </w:rPr>
      </w:pPr>
      <w:r w:rsidRPr="004E4ED4">
        <w:rPr>
          <w:rFonts w:ascii="Times New Roman" w:hAnsi="Times New Roman"/>
          <w:lang w:val="fr-FR"/>
        </w:rPr>
        <w:t>R</w:t>
      </w:r>
      <w:r w:rsidR="0092156C" w:rsidRPr="004E4ED4">
        <w:rPr>
          <w:rFonts w:ascii="Times New Roman" w:hAnsi="Times New Roman"/>
          <w:lang w:val="fr-FR"/>
        </w:rPr>
        <w:t xml:space="preserve">evirement </w:t>
      </w:r>
      <w:r w:rsidRPr="004E4ED4">
        <w:rPr>
          <w:rFonts w:ascii="Times New Roman" w:hAnsi="Times New Roman"/>
          <w:lang w:val="fr-FR"/>
        </w:rPr>
        <w:t xml:space="preserve">opéré </w:t>
      </w:r>
      <w:r w:rsidR="0092156C" w:rsidRPr="004E4ED4">
        <w:rPr>
          <w:rFonts w:ascii="Times New Roman" w:hAnsi="Times New Roman"/>
          <w:lang w:val="fr-FR"/>
        </w:rPr>
        <w:t xml:space="preserve">par : </w:t>
      </w:r>
      <w:r w:rsidR="00BA7134" w:rsidRPr="004E4ED4">
        <w:rPr>
          <w:rFonts w:ascii="Times New Roman" w:hAnsi="Times New Roman"/>
          <w:lang w:val="fr-FR"/>
        </w:rPr>
        <w:t xml:space="preserve">CJUE, </w:t>
      </w:r>
      <w:r w:rsidR="0092156C" w:rsidRPr="004E4ED4">
        <w:rPr>
          <w:rFonts w:ascii="Times New Roman" w:hAnsi="Times New Roman"/>
          <w:lang w:val="fr-FR"/>
        </w:rPr>
        <w:t xml:space="preserve">25 juillet 2008, </w:t>
      </w:r>
      <w:proofErr w:type="spellStart"/>
      <w:r w:rsidR="007638FC" w:rsidRPr="004E4ED4">
        <w:rPr>
          <w:rFonts w:ascii="Times New Roman" w:hAnsi="Times New Roman"/>
          <w:b/>
          <w:lang w:val="fr-FR"/>
        </w:rPr>
        <w:t>Métock</w:t>
      </w:r>
      <w:proofErr w:type="spellEnd"/>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C-127/08,</w:t>
      </w:r>
      <w:r w:rsidR="00A635A8" w:rsidRPr="004E4ED4">
        <w:rPr>
          <w:rFonts w:ascii="Times New Roman" w:hAnsi="Times New Roman"/>
          <w:lang w:val="fr-FR"/>
        </w:rPr>
        <w:t xml:space="preserve"> Rec. </w:t>
      </w:r>
      <w:r w:rsidR="00A635A8" w:rsidRPr="004E4ED4">
        <w:rPr>
          <w:rFonts w:ascii="Times New Roman" w:hAnsi="Times New Roman"/>
        </w:rPr>
        <w:t>2008 I-6241,</w:t>
      </w:r>
      <w:r w:rsidRPr="004E4ED4">
        <w:rPr>
          <w:rFonts w:ascii="Times New Roman" w:hAnsi="Times New Roman"/>
          <w:lang w:val="fr-FR"/>
        </w:rPr>
        <w:t xml:space="preserve"> </w:t>
      </w:r>
      <w:r w:rsidR="00A635A8" w:rsidRPr="004E4ED4">
        <w:rPr>
          <w:rFonts w:ascii="Times New Roman" w:hAnsi="Times New Roman"/>
          <w:lang w:val="fr-FR"/>
        </w:rPr>
        <w:t>P</w:t>
      </w:r>
      <w:r w:rsidRPr="004E4ED4">
        <w:rPr>
          <w:rFonts w:ascii="Times New Roman" w:hAnsi="Times New Roman"/>
          <w:lang w:val="fr-FR"/>
        </w:rPr>
        <w:t>oint 50</w:t>
      </w:r>
    </w:p>
    <w:p w:rsidR="007C7F0D" w:rsidRPr="004E4ED4" w:rsidRDefault="00BF7EB9" w:rsidP="008E069E">
      <w:pPr>
        <w:spacing w:before="120" w:line="360" w:lineRule="auto"/>
        <w:ind w:left="1440"/>
        <w:rPr>
          <w:rFonts w:ascii="Times New Roman" w:hAnsi="Times New Roman"/>
          <w:lang w:val="fr-FR"/>
        </w:rPr>
      </w:pPr>
      <w:r w:rsidRPr="004E4ED4">
        <w:rPr>
          <w:rFonts w:ascii="Times New Roman" w:hAnsi="Times New Roman"/>
          <w:lang w:val="fr-FR"/>
        </w:rPr>
        <w:t>« </w:t>
      </w:r>
      <w:proofErr w:type="gramStart"/>
      <w:r w:rsidRPr="004E4ED4">
        <w:rPr>
          <w:rFonts w:ascii="Times New Roman" w:hAnsi="Times New Roman"/>
          <w:lang w:val="fr-FR"/>
        </w:rPr>
        <w:t>la</w:t>
      </w:r>
      <w:proofErr w:type="gramEnd"/>
      <w:r w:rsidRPr="004E4ED4">
        <w:rPr>
          <w:rFonts w:ascii="Times New Roman" w:hAnsi="Times New Roman"/>
          <w:lang w:val="fr-FR"/>
        </w:rPr>
        <w:t xml:space="preserve"> définition des membres de la famille qui figure à l’article 2, point 2, de la directive 2004/38 n’établit pas de distinction selon qu’ils ont ou non déjà séjourné léga</w:t>
      </w:r>
      <w:r w:rsidR="0034182F" w:rsidRPr="004E4ED4">
        <w:rPr>
          <w:rFonts w:ascii="Times New Roman" w:hAnsi="Times New Roman"/>
          <w:lang w:val="fr-FR"/>
        </w:rPr>
        <w:t>lement dans un autre État membre</w:t>
      </w:r>
      <w:r w:rsidRPr="004E4ED4">
        <w:rPr>
          <w:rFonts w:ascii="Times New Roman" w:hAnsi="Times New Roman"/>
          <w:lang w:val="fr-FR"/>
        </w:rPr>
        <w:t>”</w:t>
      </w:r>
    </w:p>
    <w:p w:rsidR="00566651" w:rsidRPr="004E4ED4" w:rsidRDefault="007C7F0D" w:rsidP="008E069E">
      <w:pPr>
        <w:spacing w:before="120" w:line="360" w:lineRule="auto"/>
        <w:ind w:left="1440"/>
        <w:rPr>
          <w:rFonts w:ascii="Times New Roman" w:hAnsi="Times New Roman"/>
          <w:lang w:val="fr-FR"/>
        </w:rPr>
      </w:pPr>
      <w:r w:rsidRPr="004E4ED4">
        <w:rPr>
          <w:rFonts w:ascii="Times New Roman" w:hAnsi="Times New Roman"/>
          <w:lang w:val="fr-FR"/>
        </w:rPr>
        <w:t xml:space="preserve">58: la conclusion de l’arrêt </w:t>
      </w:r>
      <w:proofErr w:type="spellStart"/>
      <w:r w:rsidRPr="004E4ED4">
        <w:rPr>
          <w:rFonts w:ascii="Times New Roman" w:hAnsi="Times New Roman"/>
          <w:lang w:val="fr-FR"/>
        </w:rPr>
        <w:t>Akrich</w:t>
      </w:r>
      <w:proofErr w:type="spellEnd"/>
      <w:r w:rsidRPr="004E4ED4">
        <w:rPr>
          <w:rFonts w:ascii="Times New Roman" w:hAnsi="Times New Roman"/>
          <w:lang w:val="fr-FR"/>
        </w:rPr>
        <w:t xml:space="preserve"> “doit cependant être reconsidérée. En effet, le bénéfice de tels droits ne saurait dépendre d’un séjour légal préalable d’un tel conjoint dans un autre État membre</w:t>
      </w:r>
    </w:p>
    <w:p w:rsidR="007359D9" w:rsidRPr="004E4ED4" w:rsidRDefault="007359D9" w:rsidP="008E069E">
      <w:pPr>
        <w:spacing w:before="120" w:line="360" w:lineRule="auto"/>
        <w:ind w:left="720"/>
        <w:rPr>
          <w:rFonts w:ascii="Times New Roman" w:hAnsi="Times New Roman"/>
          <w:lang w:val="fr-FR"/>
        </w:rPr>
      </w:pPr>
    </w:p>
    <w:p w:rsidR="00731F7E" w:rsidRPr="004E4ED4" w:rsidRDefault="0092156C" w:rsidP="008E069E">
      <w:pPr>
        <w:spacing w:before="120" w:line="360" w:lineRule="auto"/>
        <w:ind w:firstLine="720"/>
        <w:rPr>
          <w:rFonts w:ascii="Times New Roman" w:hAnsi="Times New Roman"/>
          <w:lang w:val="fr-FR"/>
        </w:rPr>
      </w:pPr>
      <w:r w:rsidRPr="004E4ED4">
        <w:rPr>
          <w:rFonts w:ascii="Times New Roman" w:hAnsi="Times New Roman"/>
          <w:lang w:val="fr-FR"/>
        </w:rPr>
        <w:t xml:space="preserve">CJUE, 19 octobre 2004, </w:t>
      </w:r>
      <w:r w:rsidRPr="004E4ED4">
        <w:rPr>
          <w:rFonts w:ascii="Times New Roman" w:hAnsi="Times New Roman"/>
          <w:b/>
          <w:lang w:val="fr-FR"/>
        </w:rPr>
        <w:t>Zhu et Chen</w:t>
      </w:r>
      <w:r w:rsidRPr="004E4ED4">
        <w:rPr>
          <w:rFonts w:ascii="Times New Roman" w:hAnsi="Times New Roman"/>
          <w:lang w:val="fr-FR"/>
        </w:rPr>
        <w:t xml:space="preserve">, </w:t>
      </w:r>
      <w:proofErr w:type="spellStart"/>
      <w:r w:rsidRPr="004E4ED4">
        <w:rPr>
          <w:rFonts w:ascii="Times New Roman" w:hAnsi="Times New Roman"/>
          <w:lang w:val="fr-FR"/>
        </w:rPr>
        <w:t>aff</w:t>
      </w:r>
      <w:proofErr w:type="spellEnd"/>
      <w:r w:rsidRPr="004E4ED4">
        <w:rPr>
          <w:rFonts w:ascii="Times New Roman" w:hAnsi="Times New Roman"/>
          <w:lang w:val="fr-FR"/>
        </w:rPr>
        <w:t>. C-200/02</w:t>
      </w:r>
      <w:r w:rsidR="00A635A8" w:rsidRPr="004E4ED4">
        <w:rPr>
          <w:rFonts w:ascii="Times New Roman" w:hAnsi="Times New Roman"/>
          <w:lang w:val="fr-FR"/>
        </w:rPr>
        <w:t xml:space="preserve">, Rec. </w:t>
      </w:r>
      <w:r w:rsidR="00A635A8" w:rsidRPr="004E4ED4">
        <w:rPr>
          <w:rFonts w:ascii="Times New Roman" w:hAnsi="Times New Roman"/>
          <w:lang w:val="fr-LU"/>
        </w:rPr>
        <w:t>2004 I-9925</w:t>
      </w:r>
      <w:r w:rsidRPr="004E4ED4">
        <w:rPr>
          <w:rFonts w:ascii="Times New Roman" w:hAnsi="Times New Roman"/>
          <w:lang w:val="fr-FR"/>
        </w:rPr>
        <w:t xml:space="preserve"> </w:t>
      </w:r>
    </w:p>
    <w:p w:rsidR="00566651" w:rsidRPr="004E4ED4" w:rsidRDefault="00566651" w:rsidP="008E069E">
      <w:pPr>
        <w:spacing w:before="120" w:line="360" w:lineRule="auto"/>
        <w:ind w:left="1440"/>
        <w:rPr>
          <w:rFonts w:ascii="Times New Roman" w:hAnsi="Times New Roman"/>
          <w:lang w:val="fr-FR"/>
        </w:rPr>
      </w:pPr>
      <w:r w:rsidRPr="004E4ED4">
        <w:rPr>
          <w:rFonts w:ascii="Times New Roman" w:hAnsi="Times New Roman"/>
          <w:lang w:val="fr-FR"/>
        </w:rPr>
        <w:t>Même quand ils ne sont pas à charge mais assument la charge du citoyen (en bas âge)</w:t>
      </w:r>
    </w:p>
    <w:p w:rsidR="0075219B" w:rsidRPr="004E4ED4" w:rsidRDefault="0075219B" w:rsidP="008E069E">
      <w:pPr>
        <w:spacing w:before="120" w:line="360" w:lineRule="auto"/>
        <w:rPr>
          <w:rFonts w:ascii="Times New Roman" w:hAnsi="Times New Roman"/>
          <w:lang w:val="fr-FR"/>
        </w:rPr>
      </w:pPr>
    </w:p>
    <w:p w:rsidR="002C74AF" w:rsidRPr="004E4ED4" w:rsidRDefault="0075219B" w:rsidP="008E069E">
      <w:pPr>
        <w:spacing w:before="120" w:line="360" w:lineRule="auto"/>
        <w:ind w:left="1440"/>
        <w:rPr>
          <w:rFonts w:ascii="Times New Roman" w:hAnsi="Times New Roman"/>
          <w:lang w:val="fr-FR"/>
        </w:rPr>
      </w:pPr>
      <w:r w:rsidRPr="004E4ED4">
        <w:rPr>
          <w:rFonts w:ascii="Times New Roman" w:hAnsi="Times New Roman"/>
          <w:lang w:val="fr-FR"/>
        </w:rPr>
        <w:t xml:space="preserve">Quid </w:t>
      </w:r>
      <w:r w:rsidR="00982981" w:rsidRPr="004E4ED4">
        <w:rPr>
          <w:rFonts w:ascii="Times New Roman" w:hAnsi="Times New Roman"/>
          <w:lang w:val="fr-FR"/>
        </w:rPr>
        <w:t xml:space="preserve">de l’arrêt CJUE, 8 novembre 2012, </w:t>
      </w:r>
      <w:proofErr w:type="spellStart"/>
      <w:r w:rsidR="00982981" w:rsidRPr="004E4ED4">
        <w:rPr>
          <w:rFonts w:ascii="Times New Roman" w:hAnsi="Times New Roman"/>
          <w:b/>
          <w:lang w:val="fr-FR"/>
        </w:rPr>
        <w:t>Iida</w:t>
      </w:r>
      <w:proofErr w:type="spellEnd"/>
      <w:r w:rsidR="002C74AF" w:rsidRPr="004E4ED4">
        <w:rPr>
          <w:rFonts w:ascii="Times New Roman" w:hAnsi="Times New Roman"/>
          <w:lang w:val="fr-FR"/>
        </w:rPr>
        <w:t xml:space="preserve">, </w:t>
      </w:r>
      <w:proofErr w:type="spellStart"/>
      <w:r w:rsidR="002C74AF" w:rsidRPr="004E4ED4">
        <w:rPr>
          <w:rFonts w:ascii="Times New Roman" w:hAnsi="Times New Roman"/>
          <w:lang w:val="fr-FR"/>
        </w:rPr>
        <w:t>aff</w:t>
      </w:r>
      <w:proofErr w:type="spellEnd"/>
      <w:r w:rsidR="002C74AF" w:rsidRPr="004E4ED4">
        <w:rPr>
          <w:rFonts w:ascii="Times New Roman" w:hAnsi="Times New Roman"/>
          <w:lang w:val="fr-FR"/>
        </w:rPr>
        <w:t>. C-40/11</w:t>
      </w:r>
      <w:r w:rsidR="00A635A8" w:rsidRPr="004E4ED4">
        <w:rPr>
          <w:rFonts w:ascii="Times New Roman" w:hAnsi="Times New Roman"/>
          <w:lang w:val="fr-FR"/>
        </w:rPr>
        <w:t>,</w:t>
      </w:r>
      <w:r w:rsidR="00A635A8" w:rsidRPr="004E4ED4">
        <w:rPr>
          <w:rFonts w:ascii="Times New Roman" w:hAnsi="Times New Roman"/>
        </w:rPr>
        <w:t xml:space="preserve"> non encore </w:t>
      </w:r>
      <w:proofErr w:type="spellStart"/>
      <w:r w:rsidR="00A635A8" w:rsidRPr="004E4ED4">
        <w:rPr>
          <w:rFonts w:ascii="Times New Roman" w:hAnsi="Times New Roman"/>
        </w:rPr>
        <w:t>publié</w:t>
      </w:r>
      <w:proofErr w:type="spellEnd"/>
      <w:r w:rsidR="002C74AF" w:rsidRPr="004E4ED4">
        <w:rPr>
          <w:rFonts w:ascii="Times New Roman" w:hAnsi="Times New Roman"/>
          <w:lang w:val="fr-FR"/>
        </w:rPr>
        <w:t> ?</w:t>
      </w:r>
    </w:p>
    <w:p w:rsidR="004D6C08" w:rsidRPr="004E4ED4" w:rsidRDefault="00F02C67" w:rsidP="008E069E">
      <w:pPr>
        <w:spacing w:before="120" w:line="360" w:lineRule="auto"/>
        <w:ind w:left="1440"/>
        <w:rPr>
          <w:rFonts w:ascii="Times New Roman" w:hAnsi="Times New Roman"/>
          <w:lang w:val="fr-FR"/>
        </w:rPr>
      </w:pPr>
      <w:r w:rsidRPr="004E4ED4">
        <w:rPr>
          <w:rFonts w:ascii="Times New Roman" w:hAnsi="Times New Roman"/>
          <w:lang w:val="fr-FR"/>
        </w:rPr>
        <w:t xml:space="preserve">Ressortissants japonais qui n’est </w:t>
      </w:r>
      <w:r w:rsidR="0034182F" w:rsidRPr="004E4ED4">
        <w:rPr>
          <w:rFonts w:ascii="Times New Roman" w:hAnsi="Times New Roman"/>
          <w:lang w:val="fr-FR"/>
        </w:rPr>
        <w:t xml:space="preserve">pas </w:t>
      </w:r>
      <w:r w:rsidRPr="004E4ED4">
        <w:rPr>
          <w:rFonts w:ascii="Times New Roman" w:hAnsi="Times New Roman"/>
          <w:lang w:val="fr-FR"/>
        </w:rPr>
        <w:t>à charge de sa fille (allemande) et n’a pas accompagné ou rejoint celle-ci et son épouse</w:t>
      </w:r>
      <w:r w:rsidR="00EE6B6E" w:rsidRPr="004E4ED4">
        <w:rPr>
          <w:rFonts w:ascii="Times New Roman" w:hAnsi="Times New Roman"/>
          <w:lang w:val="fr-FR"/>
        </w:rPr>
        <w:t xml:space="preserve"> </w:t>
      </w:r>
      <w:r w:rsidR="00C75E98" w:rsidRPr="004E4ED4">
        <w:rPr>
          <w:rFonts w:ascii="Times New Roman" w:hAnsi="Times New Roman"/>
          <w:lang w:val="fr-FR"/>
        </w:rPr>
        <w:t>(allemande) dans l’Etat membre d’accueil (Autriche)</w:t>
      </w:r>
      <w:r w:rsidRPr="004E4ED4">
        <w:rPr>
          <w:rFonts w:ascii="Times New Roman" w:hAnsi="Times New Roman"/>
          <w:lang w:val="fr-FR"/>
        </w:rPr>
        <w:t>.</w:t>
      </w:r>
    </w:p>
    <w:p w:rsidR="00615726" w:rsidRPr="004E4ED4" w:rsidRDefault="00615726" w:rsidP="008E069E">
      <w:pPr>
        <w:spacing w:before="120" w:line="360" w:lineRule="auto"/>
        <w:rPr>
          <w:rFonts w:ascii="Times New Roman" w:hAnsi="Times New Roman"/>
          <w:lang w:val="fr-FR"/>
        </w:rPr>
      </w:pPr>
    </w:p>
    <w:p w:rsidR="00615726" w:rsidRPr="004E4ED4" w:rsidRDefault="00615726" w:rsidP="008E069E">
      <w:pPr>
        <w:spacing w:before="120" w:line="360" w:lineRule="auto"/>
        <w:rPr>
          <w:rFonts w:ascii="Times New Roman" w:hAnsi="Times New Roman"/>
          <w:lang w:val="fr-FR"/>
        </w:rPr>
      </w:pPr>
    </w:p>
    <w:p w:rsidR="00615726" w:rsidRPr="004E4ED4" w:rsidRDefault="00615726" w:rsidP="008E069E">
      <w:pPr>
        <w:spacing w:before="120" w:line="360" w:lineRule="auto"/>
        <w:rPr>
          <w:rFonts w:ascii="Times New Roman" w:hAnsi="Times New Roman"/>
          <w:lang w:val="fr-FR"/>
        </w:rPr>
      </w:pPr>
    </w:p>
    <w:p w:rsidR="00195FCC" w:rsidRPr="004E4ED4" w:rsidRDefault="00195FCC" w:rsidP="008E069E">
      <w:pPr>
        <w:spacing w:before="120" w:line="360" w:lineRule="auto"/>
        <w:rPr>
          <w:rFonts w:ascii="Times New Roman" w:hAnsi="Times New Roman"/>
          <w:lang w:val="fr-FR"/>
        </w:rPr>
      </w:pPr>
    </w:p>
    <w:p w:rsidR="000B4738" w:rsidRPr="004E4ED4" w:rsidRDefault="00336529" w:rsidP="008E069E">
      <w:pPr>
        <w:pStyle w:val="Heading3"/>
        <w:spacing w:before="120" w:line="360" w:lineRule="auto"/>
        <w:ind w:left="720"/>
        <w:rPr>
          <w:rFonts w:ascii="Times New Roman" w:hAnsi="Times New Roman"/>
          <w:color w:val="auto"/>
          <w:lang w:val="fr-FR"/>
        </w:rPr>
      </w:pPr>
      <w:r w:rsidRPr="004E4ED4">
        <w:rPr>
          <w:rFonts w:ascii="Times New Roman" w:hAnsi="Times New Roman"/>
          <w:color w:val="auto"/>
          <w:lang w:val="fr-FR"/>
        </w:rPr>
        <w:t xml:space="preserve">2. </w:t>
      </w:r>
      <w:r w:rsidR="000B4738" w:rsidRPr="004E4ED4">
        <w:rPr>
          <w:rFonts w:ascii="Times New Roman" w:hAnsi="Times New Roman"/>
          <w:color w:val="auto"/>
          <w:lang w:val="fr-FR"/>
        </w:rPr>
        <w:t>Autres membres de la famille</w:t>
      </w:r>
      <w:r w:rsidR="00E66190" w:rsidRPr="004E4ED4">
        <w:rPr>
          <w:rFonts w:ascii="Times New Roman" w:hAnsi="Times New Roman"/>
          <w:color w:val="auto"/>
          <w:lang w:val="fr-FR"/>
        </w:rPr>
        <w:t xml:space="preserve"> à charge (article 3, paragraphe 2 a) de la directive 2004/38</w:t>
      </w:r>
    </w:p>
    <w:p w:rsidR="00E90B84" w:rsidRPr="004E4ED4" w:rsidRDefault="00E90B84" w:rsidP="008E069E">
      <w:pPr>
        <w:spacing w:before="120" w:line="360" w:lineRule="auto"/>
        <w:ind w:left="720"/>
        <w:rPr>
          <w:rFonts w:ascii="Times New Roman" w:hAnsi="Times New Roman"/>
          <w:lang w:val="fr-FR"/>
        </w:rPr>
      </w:pPr>
    </w:p>
    <w:p w:rsidR="00E90B84" w:rsidRPr="004E4ED4" w:rsidRDefault="00E90B84" w:rsidP="008E069E">
      <w:pPr>
        <w:spacing w:before="120" w:line="360" w:lineRule="auto"/>
        <w:ind w:left="720"/>
        <w:rPr>
          <w:rFonts w:ascii="Times New Roman" w:hAnsi="Times New Roman"/>
          <w:lang w:val="fr-FR"/>
        </w:rPr>
      </w:pPr>
      <w:r w:rsidRPr="004E4ED4">
        <w:rPr>
          <w:rFonts w:ascii="Times New Roman" w:hAnsi="Times New Roman"/>
          <w:lang w:val="fr-FR"/>
        </w:rPr>
        <w:t>= la famille au sens élargi, ne bénéficie pas « d’un droit automatique » d’ent</w:t>
      </w:r>
      <w:r w:rsidR="004323D6" w:rsidRPr="004E4ED4">
        <w:rPr>
          <w:rFonts w:ascii="Times New Roman" w:hAnsi="Times New Roman"/>
          <w:lang w:val="fr-FR"/>
        </w:rPr>
        <w:t>r</w:t>
      </w:r>
      <w:r w:rsidRPr="004E4ED4">
        <w:rPr>
          <w:rFonts w:ascii="Times New Roman" w:hAnsi="Times New Roman"/>
          <w:lang w:val="fr-FR"/>
        </w:rPr>
        <w:t>ée et de séjour</w:t>
      </w:r>
    </w:p>
    <w:p w:rsidR="00CA155E" w:rsidRPr="004E4ED4" w:rsidRDefault="00CA155E" w:rsidP="008E069E">
      <w:pPr>
        <w:spacing w:before="120" w:line="360" w:lineRule="auto"/>
        <w:ind w:left="720"/>
        <w:rPr>
          <w:rFonts w:ascii="Times New Roman" w:hAnsi="Times New Roman"/>
          <w:lang w:val="fr-FR"/>
        </w:rPr>
      </w:pPr>
    </w:p>
    <w:p w:rsidR="00CA155E" w:rsidRPr="004E4ED4" w:rsidRDefault="000B4738" w:rsidP="008E069E">
      <w:pPr>
        <w:spacing w:before="120" w:line="360" w:lineRule="auto"/>
        <w:ind w:left="720"/>
        <w:rPr>
          <w:rFonts w:ascii="Times New Roman" w:hAnsi="Times New Roman"/>
          <w:lang w:val="fr-FR"/>
        </w:rPr>
      </w:pPr>
      <w:r w:rsidRPr="004E4ED4">
        <w:rPr>
          <w:rFonts w:ascii="Times New Roman" w:hAnsi="Times New Roman"/>
          <w:lang w:val="fr-FR"/>
        </w:rPr>
        <w:t xml:space="preserve">CJUE, 5 septembre 2012, </w:t>
      </w:r>
      <w:r w:rsidRPr="004E4ED4">
        <w:rPr>
          <w:rFonts w:ascii="Times New Roman" w:hAnsi="Times New Roman"/>
          <w:b/>
          <w:lang w:val="fr-FR"/>
        </w:rPr>
        <w:t>Rahman</w:t>
      </w:r>
      <w:r w:rsidR="00CA155E" w:rsidRPr="004E4ED4">
        <w:rPr>
          <w:rFonts w:ascii="Times New Roman" w:hAnsi="Times New Roman"/>
          <w:lang w:val="fr-FR"/>
        </w:rPr>
        <w:t xml:space="preserve">, </w:t>
      </w:r>
      <w:proofErr w:type="spellStart"/>
      <w:r w:rsidR="00CA155E" w:rsidRPr="004E4ED4">
        <w:rPr>
          <w:rFonts w:ascii="Times New Roman" w:hAnsi="Times New Roman"/>
          <w:lang w:val="fr-FR"/>
        </w:rPr>
        <w:t>aff</w:t>
      </w:r>
      <w:proofErr w:type="spellEnd"/>
      <w:r w:rsidR="00CA155E" w:rsidRPr="004E4ED4">
        <w:rPr>
          <w:rFonts w:ascii="Times New Roman" w:hAnsi="Times New Roman"/>
          <w:lang w:val="fr-FR"/>
        </w:rPr>
        <w:t xml:space="preserve">. </w:t>
      </w:r>
      <w:r w:rsidR="0008301F" w:rsidRPr="004E4ED4">
        <w:rPr>
          <w:rFonts w:ascii="Times New Roman" w:hAnsi="Times New Roman"/>
          <w:lang w:val="fr-FR"/>
        </w:rPr>
        <w:t>C-83/11</w:t>
      </w:r>
      <w:r w:rsidR="00810873" w:rsidRPr="004E4ED4">
        <w:rPr>
          <w:rFonts w:ascii="Times New Roman" w:hAnsi="Times New Roman"/>
          <w:lang w:val="fr-FR"/>
        </w:rPr>
        <w:t xml:space="preserve">, </w:t>
      </w:r>
      <w:r w:rsidR="00810873" w:rsidRPr="004E4ED4">
        <w:rPr>
          <w:rFonts w:ascii="Times New Roman" w:hAnsi="Times New Roman"/>
          <w:lang w:val="fr-LU"/>
        </w:rPr>
        <w:t>non encore publié,</w:t>
      </w:r>
      <w:r w:rsidR="00E90B84" w:rsidRPr="004E4ED4">
        <w:rPr>
          <w:rFonts w:ascii="Times New Roman" w:hAnsi="Times New Roman"/>
          <w:lang w:val="fr-FR"/>
        </w:rPr>
        <w:t xml:space="preserve"> (frère, demi frère, neveu)</w:t>
      </w:r>
    </w:p>
    <w:p w:rsidR="000B4738" w:rsidRPr="004E4ED4" w:rsidRDefault="00CA155E" w:rsidP="008E069E">
      <w:pPr>
        <w:spacing w:before="120" w:line="360" w:lineRule="auto"/>
        <w:ind w:left="720"/>
        <w:rPr>
          <w:rFonts w:ascii="Times New Roman" w:hAnsi="Times New Roman"/>
          <w:lang w:val="fr-FR"/>
        </w:rPr>
      </w:pPr>
      <w:r w:rsidRPr="004E4ED4">
        <w:rPr>
          <w:rFonts w:ascii="Times New Roman" w:hAnsi="Times New Roman"/>
          <w:lang w:val="fr-FR"/>
        </w:rPr>
        <w:t>L’o</w:t>
      </w:r>
      <w:r w:rsidR="000B3C4C" w:rsidRPr="004E4ED4">
        <w:rPr>
          <w:rFonts w:ascii="Times New Roman" w:hAnsi="Times New Roman"/>
          <w:lang w:val="fr-FR"/>
        </w:rPr>
        <w:t>bligation de favoriser, conformément à la législation nationale, l’entrée et le séjour de ‘tout autre membre de la famille’ à la</w:t>
      </w:r>
      <w:r w:rsidRPr="004E4ED4">
        <w:rPr>
          <w:rFonts w:ascii="Times New Roman" w:hAnsi="Times New Roman"/>
          <w:lang w:val="fr-FR"/>
        </w:rPr>
        <w:t xml:space="preserve"> charge d’un citoyen de l’Union</w:t>
      </w:r>
    </w:p>
    <w:p w:rsidR="00455A22" w:rsidRPr="004E4ED4" w:rsidRDefault="00455A22" w:rsidP="008E069E">
      <w:pPr>
        <w:pStyle w:val="c01pointnumerotealtn"/>
        <w:spacing w:beforeLines="0" w:afterLines="0" w:line="360" w:lineRule="auto"/>
        <w:ind w:left="720"/>
        <w:rPr>
          <w:rFonts w:ascii="Times New Roman" w:hAnsi="Times New Roman" w:cs="Times New Roman"/>
          <w:sz w:val="24"/>
          <w:lang w:val="fr-FR"/>
        </w:rPr>
      </w:pPr>
      <w:bookmarkStart w:id="9" w:name="point23"/>
      <w:r w:rsidRPr="004E4ED4">
        <w:rPr>
          <w:rFonts w:ascii="Times New Roman" w:hAnsi="Times New Roman" w:cs="Times New Roman"/>
          <w:sz w:val="24"/>
          <w:lang w:val="fr-FR"/>
        </w:rPr>
        <w:t>23</w:t>
      </w:r>
      <w:bookmarkEnd w:id="9"/>
      <w:r w:rsidRPr="004E4ED4">
        <w:rPr>
          <w:rFonts w:ascii="Times New Roman" w:hAnsi="Times New Roman" w:cs="Times New Roman"/>
          <w:sz w:val="24"/>
          <w:lang w:val="fr-FR"/>
        </w:rPr>
        <w:t>      Dans le cadre dudit examen de la situation personnelle du demandeur, ainsi qu’il ressort du considérant 6 de la directive 2004/38, il incombe à l’autorité compétente de tenir compte des différents facteurs qui peuvent être pertinents selon le cas, tels que le degré de dépendance économique ou physique et le degré de parenté entre le membre de la famille et le citoyen de l’Union qu’il souhaite accompagner ou rejoindre.</w:t>
      </w:r>
    </w:p>
    <w:p w:rsidR="00455A22" w:rsidRPr="004E4ED4" w:rsidRDefault="00455A22" w:rsidP="008E069E">
      <w:pPr>
        <w:pStyle w:val="c01pointnumerotealtn"/>
        <w:spacing w:beforeLines="0" w:afterLines="0" w:line="360" w:lineRule="auto"/>
        <w:ind w:left="720"/>
        <w:rPr>
          <w:rFonts w:ascii="Times New Roman" w:hAnsi="Times New Roman" w:cs="Times New Roman"/>
          <w:sz w:val="24"/>
          <w:lang w:val="fr-FR"/>
        </w:rPr>
      </w:pPr>
      <w:bookmarkStart w:id="10" w:name="point24"/>
      <w:r w:rsidRPr="004E4ED4">
        <w:rPr>
          <w:rFonts w:ascii="Times New Roman" w:hAnsi="Times New Roman" w:cs="Times New Roman"/>
          <w:sz w:val="24"/>
          <w:lang w:val="fr-FR"/>
        </w:rPr>
        <w:t>24</w:t>
      </w:r>
      <w:bookmarkEnd w:id="10"/>
      <w:r w:rsidRPr="004E4ED4">
        <w:rPr>
          <w:rFonts w:ascii="Times New Roman" w:hAnsi="Times New Roman" w:cs="Times New Roman"/>
          <w:sz w:val="24"/>
          <w:lang w:val="fr-FR"/>
        </w:rPr>
        <w:t xml:space="preserve">      Au regard tant de l’absence de règles plus précises dans la directive 2004/38 que de l’emploi des termes «conformément à sa législation nationale» à l’article 3, paragraphe 2, de celle-ci, force est de constater que </w:t>
      </w:r>
      <w:r w:rsidRPr="004E4ED4">
        <w:rPr>
          <w:rFonts w:ascii="Times New Roman" w:hAnsi="Times New Roman" w:cs="Times New Roman"/>
          <w:b/>
          <w:sz w:val="24"/>
          <w:lang w:val="fr-FR"/>
        </w:rPr>
        <w:t>chaque État membre dispose d’une large marge d’appréciation</w:t>
      </w:r>
      <w:r w:rsidRPr="004E4ED4">
        <w:rPr>
          <w:rFonts w:ascii="Times New Roman" w:hAnsi="Times New Roman" w:cs="Times New Roman"/>
          <w:sz w:val="24"/>
          <w:lang w:val="fr-FR"/>
        </w:rPr>
        <w:t xml:space="preserve"> quant au choix des facteurs à prendre en compte. Cela étant, l’État membre d’accueil doit veiller à ce que sa législation comporte des critères qui soient conformes au sens habituel du terme «favorise» ainsi que des termes relatifs à la dépendance employés audit article 3, paragraphe 2, et qui ne privent pas cette disposition de son effet utile.</w:t>
      </w:r>
    </w:p>
    <w:p w:rsidR="00B21F31" w:rsidRPr="004E4ED4" w:rsidRDefault="00455A22" w:rsidP="008E069E">
      <w:pPr>
        <w:pStyle w:val="c01pointnumerotealtn"/>
        <w:spacing w:beforeLines="0" w:afterLines="0" w:line="360" w:lineRule="auto"/>
        <w:ind w:left="720"/>
        <w:rPr>
          <w:rFonts w:ascii="Times New Roman" w:hAnsi="Times New Roman" w:cs="Times New Roman"/>
          <w:b/>
          <w:sz w:val="24"/>
          <w:lang w:val="fr-FR"/>
        </w:rPr>
      </w:pPr>
      <w:bookmarkStart w:id="11" w:name="point25"/>
      <w:r w:rsidRPr="004E4ED4">
        <w:rPr>
          <w:rFonts w:ascii="Times New Roman" w:hAnsi="Times New Roman" w:cs="Times New Roman"/>
          <w:sz w:val="24"/>
          <w:lang w:val="fr-FR"/>
        </w:rPr>
        <w:t>25</w:t>
      </w:r>
      <w:bookmarkEnd w:id="11"/>
      <w:r w:rsidRPr="004E4ED4">
        <w:rPr>
          <w:rFonts w:ascii="Times New Roman" w:hAnsi="Times New Roman" w:cs="Times New Roman"/>
          <w:sz w:val="24"/>
          <w:lang w:val="fr-FR"/>
        </w:rPr>
        <w:t>      </w:t>
      </w:r>
      <w:r w:rsidR="00615726" w:rsidRPr="004E4ED4">
        <w:rPr>
          <w:rFonts w:ascii="Times New Roman" w:hAnsi="Times New Roman" w:cs="Times New Roman"/>
          <w:sz w:val="24"/>
          <w:lang w:val="fr-FR"/>
        </w:rPr>
        <w:t xml:space="preserve">«  même si </w:t>
      </w:r>
      <w:r w:rsidRPr="004E4ED4">
        <w:rPr>
          <w:rFonts w:ascii="Times New Roman" w:hAnsi="Times New Roman" w:cs="Times New Roman"/>
          <w:sz w:val="24"/>
          <w:lang w:val="fr-FR"/>
        </w:rPr>
        <w:t xml:space="preserve">les termes employés à l’article 3, paragraphe 2, de la directive 2004/38 </w:t>
      </w:r>
      <w:r w:rsidRPr="004E4ED4">
        <w:rPr>
          <w:rFonts w:ascii="Times New Roman" w:hAnsi="Times New Roman" w:cs="Times New Roman"/>
          <w:b/>
          <w:sz w:val="24"/>
          <w:lang w:val="fr-FR"/>
        </w:rPr>
        <w:t>ne sont pas suffisamment précis pour permettre à un demandeur d’entrée ou de séjour de se prévaloir directement de cette disposition</w:t>
      </w:r>
      <w:r w:rsidRPr="004E4ED4">
        <w:rPr>
          <w:rFonts w:ascii="Times New Roman" w:hAnsi="Times New Roman" w:cs="Times New Roman"/>
          <w:sz w:val="24"/>
          <w:lang w:val="fr-FR"/>
        </w:rPr>
        <w:t xml:space="preserve"> pour invoquer des critères d’appréciation qui devraient selon lui être appliqués à sa demande, il n’en demeure pas moins qu’un tel </w:t>
      </w:r>
      <w:r w:rsidRPr="004E4ED4">
        <w:rPr>
          <w:rFonts w:ascii="Times New Roman" w:hAnsi="Times New Roman" w:cs="Times New Roman"/>
          <w:b/>
          <w:sz w:val="24"/>
          <w:lang w:val="fr-FR"/>
        </w:rPr>
        <w:t>demandeur a le droit de faire vérifier par une juridiction si la législation nationale et l’application de celle-ci sont restées dans les limites de la marge d’appréciation tracée par ladite directive.</w:t>
      </w:r>
      <w:r w:rsidR="00615726" w:rsidRPr="004E4ED4">
        <w:rPr>
          <w:rFonts w:ascii="Times New Roman" w:hAnsi="Times New Roman" w:cs="Times New Roman"/>
          <w:b/>
          <w:sz w:val="24"/>
          <w:lang w:val="fr-FR"/>
        </w:rPr>
        <w:t> »</w:t>
      </w:r>
    </w:p>
    <w:p w:rsidR="00455A22" w:rsidRPr="004E4ED4" w:rsidRDefault="00B21F31" w:rsidP="008E069E">
      <w:pPr>
        <w:pStyle w:val="c01pointnumerotealtn"/>
        <w:spacing w:beforeLines="0" w:afterLines="0" w:line="360" w:lineRule="auto"/>
        <w:ind w:left="720"/>
        <w:rPr>
          <w:rFonts w:ascii="Times New Roman" w:hAnsi="Times New Roman" w:cs="Times New Roman"/>
          <w:sz w:val="24"/>
          <w:lang w:val="fr-FR"/>
        </w:rPr>
      </w:pPr>
      <w:bookmarkStart w:id="12" w:name="point34"/>
      <w:r w:rsidRPr="004E4ED4">
        <w:rPr>
          <w:rFonts w:ascii="Times New Roman" w:hAnsi="Times New Roman"/>
          <w:sz w:val="24"/>
          <w:lang w:val="fr-FR"/>
        </w:rPr>
        <w:t>34</w:t>
      </w:r>
      <w:bookmarkEnd w:id="12"/>
      <w:r w:rsidRPr="004E4ED4">
        <w:rPr>
          <w:rFonts w:ascii="Times New Roman" w:hAnsi="Times New Roman"/>
          <w:sz w:val="24"/>
          <w:lang w:val="fr-FR"/>
        </w:rPr>
        <w:t xml:space="preserve">      Dans l’affaire au principal, </w:t>
      </w:r>
      <w:r w:rsidRPr="004E4ED4">
        <w:rPr>
          <w:rFonts w:ascii="Times New Roman" w:hAnsi="Times New Roman"/>
          <w:b/>
          <w:sz w:val="24"/>
          <w:lang w:val="fr-FR"/>
        </w:rPr>
        <w:t>il incombe à la juridiction de renvoi de vérifier</w:t>
      </w:r>
      <w:r w:rsidRPr="004E4ED4">
        <w:rPr>
          <w:rFonts w:ascii="Times New Roman" w:hAnsi="Times New Roman"/>
          <w:sz w:val="24"/>
          <w:lang w:val="fr-FR"/>
        </w:rPr>
        <w:t>, sur la base des éléments d’interprétation fournis ci-dessus, si les défendeurs au principal étaient à charge du citoyen de l’Union, en l’occurrence M</w:t>
      </w:r>
      <w:r w:rsidRPr="004E4ED4">
        <w:rPr>
          <w:rFonts w:ascii="Times New Roman" w:hAnsi="Times New Roman"/>
          <w:sz w:val="24"/>
          <w:vertAlign w:val="superscript"/>
          <w:lang w:val="fr-FR"/>
        </w:rPr>
        <w:t>me</w:t>
      </w:r>
      <w:r w:rsidRPr="004E4ED4">
        <w:rPr>
          <w:rFonts w:ascii="Times New Roman" w:hAnsi="Times New Roman"/>
          <w:sz w:val="24"/>
          <w:lang w:val="fr-FR"/>
        </w:rPr>
        <w:t xml:space="preserve"> Rahman, dans leur pays de provenance, le Bangladesh, au moment où ils ont demandé à la rejoindre au Royaume-Uni. C’est uniquement s’ils peuvent apporter la preuve de cette dépendance dans le pays de provenance, conformément à l’article 10, paragraphe 2, de la directive 2004/38, que l’État membre d’accueil devra favoriser leur entrée et leur séjour conformément à l’article 3, paragraphe 2, de ladite directive, tel qu’interprété aux points 22 à 25 du présent arrêt.</w:t>
      </w:r>
    </w:p>
    <w:p w:rsidR="00455A22" w:rsidRPr="004E4ED4" w:rsidRDefault="00455A22" w:rsidP="008E069E">
      <w:pPr>
        <w:pStyle w:val="c01pointnumerotealtn"/>
        <w:spacing w:beforeLines="0" w:afterLines="0" w:line="360" w:lineRule="auto"/>
        <w:ind w:left="720"/>
        <w:rPr>
          <w:rFonts w:ascii="Times New Roman" w:hAnsi="Times New Roman" w:cs="Times New Roman"/>
          <w:sz w:val="24"/>
          <w:lang w:val="fr-FR"/>
        </w:rPr>
      </w:pPr>
    </w:p>
    <w:p w:rsidR="00195FCC" w:rsidRPr="004E4ED4" w:rsidRDefault="007C150A" w:rsidP="008E069E">
      <w:pPr>
        <w:pStyle w:val="Heading2"/>
        <w:spacing w:before="120" w:line="360" w:lineRule="auto"/>
        <w:rPr>
          <w:rFonts w:ascii="Times New Roman" w:hAnsi="Times New Roman"/>
          <w:color w:val="auto"/>
          <w:sz w:val="24"/>
          <w:lang w:val="fr-FR"/>
        </w:rPr>
      </w:pPr>
      <w:r w:rsidRPr="004E4ED4">
        <w:rPr>
          <w:rFonts w:ascii="Times New Roman" w:hAnsi="Times New Roman"/>
          <w:color w:val="auto"/>
          <w:sz w:val="24"/>
          <w:lang w:val="fr-FR"/>
        </w:rPr>
        <w:t xml:space="preserve">B. </w:t>
      </w:r>
      <w:r w:rsidR="00A779A7" w:rsidRPr="004E4ED4">
        <w:rPr>
          <w:rFonts w:ascii="Times New Roman" w:hAnsi="Times New Roman"/>
          <w:color w:val="auto"/>
          <w:sz w:val="24"/>
          <w:lang w:val="fr-FR"/>
        </w:rPr>
        <w:t xml:space="preserve">Membres de la famille d’un citoyen </w:t>
      </w:r>
      <w:r w:rsidR="007638FC" w:rsidRPr="004E4ED4">
        <w:rPr>
          <w:rFonts w:ascii="Times New Roman" w:hAnsi="Times New Roman"/>
          <w:color w:val="auto"/>
          <w:sz w:val="24"/>
          <w:lang w:val="fr-FR"/>
        </w:rPr>
        <w:t>« sédentaire »</w:t>
      </w:r>
    </w:p>
    <w:p w:rsidR="0075219B" w:rsidRPr="004E4ED4" w:rsidRDefault="0075219B" w:rsidP="008E069E">
      <w:pPr>
        <w:spacing w:before="120" w:line="360" w:lineRule="auto"/>
        <w:rPr>
          <w:rFonts w:ascii="Times New Roman" w:hAnsi="Times New Roman"/>
          <w:lang w:val="fr-FR"/>
        </w:rPr>
      </w:pPr>
    </w:p>
    <w:p w:rsidR="00C60021" w:rsidRDefault="00A779A7" w:rsidP="008E069E">
      <w:pPr>
        <w:spacing w:before="120" w:line="360" w:lineRule="auto"/>
        <w:ind w:left="720"/>
        <w:rPr>
          <w:rFonts w:ascii="Times New Roman" w:hAnsi="Times New Roman"/>
          <w:lang w:val="fr-FR"/>
        </w:rPr>
      </w:pPr>
      <w:r w:rsidRPr="004E4ED4">
        <w:rPr>
          <w:rFonts w:ascii="Times New Roman" w:hAnsi="Times New Roman"/>
          <w:lang w:val="fr-FR"/>
        </w:rPr>
        <w:t>Qualification de situation purement interne sauf s’il est porté atteinte à la « j</w:t>
      </w:r>
      <w:r w:rsidR="00195FCC" w:rsidRPr="004E4ED4">
        <w:rPr>
          <w:rFonts w:ascii="Times New Roman" w:hAnsi="Times New Roman"/>
          <w:lang w:val="fr-FR"/>
        </w:rPr>
        <w:t xml:space="preserve">ouissance effective de l’essentiel des droit conférés par le statut de citoyen européen » </w:t>
      </w:r>
      <w:r w:rsidR="0034182F" w:rsidRPr="004E4ED4">
        <w:rPr>
          <w:rFonts w:ascii="Times New Roman" w:hAnsi="Times New Roman"/>
          <w:lang w:val="fr-FR"/>
        </w:rPr>
        <w:t xml:space="preserve">(Jurisprudence </w:t>
      </w:r>
      <w:proofErr w:type="spellStart"/>
      <w:r w:rsidR="0034182F" w:rsidRPr="004E4ED4">
        <w:rPr>
          <w:rFonts w:ascii="Times New Roman" w:hAnsi="Times New Roman"/>
          <w:lang w:val="fr-FR"/>
        </w:rPr>
        <w:t>Dereci</w:t>
      </w:r>
      <w:proofErr w:type="spellEnd"/>
      <w:r w:rsidR="0034182F" w:rsidRPr="004E4ED4">
        <w:rPr>
          <w:rFonts w:ascii="Times New Roman" w:hAnsi="Times New Roman"/>
          <w:lang w:val="fr-FR"/>
        </w:rPr>
        <w:t>)</w:t>
      </w:r>
      <w:r w:rsidR="009F448A">
        <w:rPr>
          <w:rStyle w:val="FootnoteReference"/>
          <w:rFonts w:ascii="Times New Roman" w:hAnsi="Times New Roman"/>
          <w:lang w:val="fr-FR"/>
        </w:rPr>
        <w:footnoteReference w:id="5"/>
      </w:r>
      <w:r w:rsidR="00C60021">
        <w:rPr>
          <w:rFonts w:ascii="Times New Roman" w:hAnsi="Times New Roman"/>
          <w:lang w:val="fr-FR"/>
        </w:rPr>
        <w:t xml:space="preserve">    </w:t>
      </w:r>
    </w:p>
    <w:p w:rsidR="00C60021" w:rsidRDefault="00C60021" w:rsidP="008E069E">
      <w:pPr>
        <w:spacing w:before="120" w:line="360" w:lineRule="auto"/>
        <w:ind w:left="720"/>
        <w:rPr>
          <w:rFonts w:ascii="Times New Roman" w:hAnsi="Times New Roman"/>
          <w:lang w:val="fr-FR"/>
        </w:rPr>
      </w:pPr>
    </w:p>
    <w:p w:rsidR="00C60021" w:rsidRPr="00C60021" w:rsidRDefault="00C60021" w:rsidP="008E069E">
      <w:pPr>
        <w:spacing w:before="120" w:line="360" w:lineRule="auto"/>
        <w:ind w:left="720"/>
        <w:rPr>
          <w:rFonts w:ascii="Times New Roman" w:hAnsi="Times New Roman"/>
          <w:lang w:val="fr-FR"/>
        </w:rPr>
      </w:pPr>
      <w:r>
        <w:rPr>
          <w:rStyle w:val="FootnoteReference"/>
          <w:rFonts w:ascii="Times New Roman" w:hAnsi="Times New Roman"/>
          <w:lang w:val="fr-FR"/>
        </w:rPr>
        <w:footnoteReference w:id="6"/>
      </w:r>
      <w:r>
        <w:rPr>
          <w:rFonts w:ascii="Times New Roman" w:hAnsi="Times New Roman"/>
          <w:lang w:val="fr-FR"/>
        </w:rPr>
        <w:t xml:space="preserve"> </w:t>
      </w:r>
      <w:r w:rsidRPr="00C60021">
        <w:rPr>
          <w:rFonts w:ascii="Times New Roman" w:hAnsi="Times New Roman"/>
        </w:rPr>
        <w:t>Anne RIGAUX</w:t>
      </w:r>
      <w:r>
        <w:rPr>
          <w:rFonts w:ascii="Times New Roman" w:hAnsi="Times New Roman"/>
        </w:rPr>
        <w:t>,</w:t>
      </w:r>
      <w:r w:rsidRPr="00C60021">
        <w:rPr>
          <w:rFonts w:ascii="Times New Roman" w:hAnsi="Times New Roman"/>
        </w:rPr>
        <w:t xml:space="preserve"> Rapprochement familial </w:t>
      </w:r>
      <w:proofErr w:type="gramStart"/>
      <w:r w:rsidRPr="00C60021">
        <w:rPr>
          <w:rFonts w:ascii="Times New Roman" w:hAnsi="Times New Roman"/>
        </w:rPr>
        <w:t>et</w:t>
      </w:r>
      <w:proofErr w:type="gramEnd"/>
      <w:r w:rsidRPr="00C60021">
        <w:rPr>
          <w:rFonts w:ascii="Times New Roman" w:hAnsi="Times New Roman"/>
        </w:rPr>
        <w:t xml:space="preserve"> </w:t>
      </w:r>
      <w:proofErr w:type="spellStart"/>
      <w:r w:rsidRPr="00C60021">
        <w:rPr>
          <w:rFonts w:ascii="Times New Roman" w:hAnsi="Times New Roman"/>
        </w:rPr>
        <w:t>citoyenneté</w:t>
      </w:r>
      <w:proofErr w:type="spellEnd"/>
      <w:r w:rsidRPr="00C60021">
        <w:rPr>
          <w:rFonts w:ascii="Times New Roman" w:hAnsi="Times New Roman"/>
        </w:rPr>
        <w:t xml:space="preserve"> de </w:t>
      </w:r>
      <w:proofErr w:type="spellStart"/>
      <w:r w:rsidRPr="00C60021">
        <w:rPr>
          <w:rFonts w:ascii="Times New Roman" w:hAnsi="Times New Roman"/>
        </w:rPr>
        <w:t>l'Union</w:t>
      </w:r>
      <w:proofErr w:type="spellEnd"/>
      <w:r>
        <w:rPr>
          <w:rFonts w:ascii="Times New Roman" w:hAnsi="Times New Roman"/>
          <w:lang w:val="fr-FR"/>
        </w:rPr>
        <w:t xml:space="preserve">, </w:t>
      </w:r>
      <w:proofErr w:type="spellStart"/>
      <w:r>
        <w:rPr>
          <w:rFonts w:ascii="Times New Roman" w:hAnsi="Times New Roman"/>
        </w:rPr>
        <w:t>Commentaire</w:t>
      </w:r>
      <w:proofErr w:type="spellEnd"/>
      <w:r>
        <w:rPr>
          <w:rFonts w:ascii="Times New Roman" w:hAnsi="Times New Roman"/>
        </w:rPr>
        <w:t xml:space="preserve">, </w:t>
      </w:r>
      <w:r>
        <w:rPr>
          <w:rFonts w:ascii="Times New Roman" w:hAnsi="Times New Roman"/>
          <w:lang w:val="fr-FR"/>
        </w:rPr>
        <w:t xml:space="preserve">Revue </w:t>
      </w:r>
      <w:r>
        <w:rPr>
          <w:rFonts w:ascii="Times New Roman" w:hAnsi="Times New Roman"/>
        </w:rPr>
        <w:t xml:space="preserve">Europe, </w:t>
      </w:r>
      <w:proofErr w:type="spellStart"/>
      <w:r>
        <w:rPr>
          <w:rFonts w:ascii="Times New Roman" w:hAnsi="Times New Roman"/>
        </w:rPr>
        <w:t>Janvier</w:t>
      </w:r>
      <w:proofErr w:type="spellEnd"/>
      <w:r>
        <w:rPr>
          <w:rFonts w:ascii="Times New Roman" w:hAnsi="Times New Roman"/>
        </w:rPr>
        <w:t xml:space="preserve"> 2012, p. 4.</w:t>
      </w:r>
    </w:p>
    <w:p w:rsidR="00C60021" w:rsidRPr="00C60021" w:rsidRDefault="00C60021" w:rsidP="008E069E">
      <w:pPr>
        <w:spacing w:before="120" w:line="360" w:lineRule="auto"/>
        <w:rPr>
          <w:rFonts w:ascii="Times New Roman" w:hAnsi="Times New Roman"/>
        </w:rPr>
      </w:pPr>
    </w:p>
    <w:p w:rsidR="00E76C22" w:rsidRPr="004E4ED4" w:rsidRDefault="00E76C22" w:rsidP="008E069E">
      <w:pPr>
        <w:spacing w:before="120" w:line="360" w:lineRule="auto"/>
        <w:ind w:left="720"/>
        <w:rPr>
          <w:rFonts w:ascii="Times New Roman" w:hAnsi="Times New Roman"/>
          <w:lang w:val="fr-FR"/>
        </w:rPr>
      </w:pPr>
    </w:p>
    <w:p w:rsidR="00E90B84" w:rsidRPr="004E4ED4" w:rsidRDefault="00A779A7" w:rsidP="008E069E">
      <w:pPr>
        <w:spacing w:before="120" w:line="360" w:lineRule="auto"/>
        <w:ind w:left="720"/>
        <w:rPr>
          <w:rFonts w:ascii="Times New Roman" w:hAnsi="Times New Roman"/>
          <w:lang w:val="fr-FR"/>
        </w:rPr>
      </w:pPr>
      <w:r w:rsidRPr="004E4ED4">
        <w:rPr>
          <w:rFonts w:ascii="Times New Roman" w:hAnsi="Times New Roman"/>
          <w:lang w:val="fr-FR"/>
        </w:rPr>
        <w:t xml:space="preserve">CJUE, </w:t>
      </w:r>
      <w:r w:rsidR="00284428" w:rsidRPr="004E4ED4">
        <w:rPr>
          <w:rFonts w:ascii="Times New Roman" w:hAnsi="Times New Roman"/>
          <w:lang w:val="fr-FR"/>
        </w:rPr>
        <w:t>8 mai 2013</w:t>
      </w:r>
      <w:r w:rsidRPr="004E4ED4">
        <w:rPr>
          <w:rFonts w:ascii="Times New Roman" w:hAnsi="Times New Roman"/>
          <w:lang w:val="fr-FR"/>
        </w:rPr>
        <w:t>,</w:t>
      </w:r>
      <w:r w:rsidR="00284428" w:rsidRPr="004E4ED4">
        <w:rPr>
          <w:rFonts w:ascii="Times New Roman" w:hAnsi="Times New Roman"/>
          <w:lang w:val="fr-FR"/>
        </w:rPr>
        <w:t xml:space="preserve"> </w:t>
      </w:r>
      <w:proofErr w:type="spellStart"/>
      <w:r w:rsidR="00731F7E" w:rsidRPr="004E4ED4">
        <w:rPr>
          <w:rFonts w:ascii="Times New Roman" w:hAnsi="Times New Roman"/>
          <w:b/>
          <w:lang w:val="fr-FR"/>
        </w:rPr>
        <w:t>Ymeraga</w:t>
      </w:r>
      <w:proofErr w:type="spellEnd"/>
      <w:r w:rsidR="00284428" w:rsidRPr="004E4ED4">
        <w:rPr>
          <w:rFonts w:ascii="Times New Roman" w:hAnsi="Times New Roman"/>
          <w:lang w:val="fr-FR"/>
        </w:rPr>
        <w:t xml:space="preserve">, </w:t>
      </w:r>
      <w:proofErr w:type="spellStart"/>
      <w:r w:rsidR="00E90B84" w:rsidRPr="004E4ED4">
        <w:rPr>
          <w:rFonts w:ascii="Times New Roman" w:hAnsi="Times New Roman"/>
          <w:lang w:val="fr-FR"/>
        </w:rPr>
        <w:t>aff</w:t>
      </w:r>
      <w:proofErr w:type="spellEnd"/>
      <w:r w:rsidR="00E90B84" w:rsidRPr="004E4ED4">
        <w:rPr>
          <w:rFonts w:ascii="Times New Roman" w:hAnsi="Times New Roman"/>
          <w:lang w:val="fr-FR"/>
        </w:rPr>
        <w:t xml:space="preserve">. </w:t>
      </w:r>
      <w:r w:rsidR="0034182F" w:rsidRPr="004E4ED4">
        <w:rPr>
          <w:rFonts w:ascii="Times New Roman" w:hAnsi="Times New Roman"/>
          <w:lang w:val="fr-FR"/>
        </w:rPr>
        <w:t>C-87/12,</w:t>
      </w:r>
      <w:r w:rsidR="00A5218F" w:rsidRPr="004E4ED4">
        <w:rPr>
          <w:rFonts w:ascii="Times New Roman" w:hAnsi="Times New Roman"/>
          <w:lang w:val="fr-FR"/>
        </w:rPr>
        <w:t xml:space="preserve"> </w:t>
      </w:r>
      <w:r w:rsidR="00A5218F" w:rsidRPr="004E4ED4">
        <w:rPr>
          <w:rFonts w:ascii="Times New Roman" w:hAnsi="Times New Roman"/>
          <w:lang w:val="fr-LU"/>
        </w:rPr>
        <w:t>non encore publié,</w:t>
      </w:r>
      <w:r w:rsidR="0034182F" w:rsidRPr="004E4ED4">
        <w:rPr>
          <w:rFonts w:ascii="Times New Roman" w:hAnsi="Times New Roman"/>
          <w:lang w:val="fr-FR"/>
        </w:rPr>
        <w:t xml:space="preserve"> </w:t>
      </w:r>
      <w:r w:rsidR="00A5218F" w:rsidRPr="004E4ED4">
        <w:rPr>
          <w:rFonts w:ascii="Times New Roman" w:hAnsi="Times New Roman"/>
          <w:lang w:val="fr-FR"/>
        </w:rPr>
        <w:t>P</w:t>
      </w:r>
      <w:r w:rsidR="0034182F" w:rsidRPr="004E4ED4">
        <w:rPr>
          <w:rFonts w:ascii="Times New Roman" w:hAnsi="Times New Roman"/>
          <w:lang w:val="fr-FR"/>
        </w:rPr>
        <w:t>oint 36</w:t>
      </w:r>
    </w:p>
    <w:p w:rsidR="004B6524" w:rsidRPr="004E4ED4" w:rsidRDefault="0034182F" w:rsidP="008E069E">
      <w:pPr>
        <w:spacing w:before="120" w:line="360" w:lineRule="auto"/>
        <w:ind w:left="720"/>
        <w:rPr>
          <w:rFonts w:ascii="Times New Roman" w:hAnsi="Times New Roman"/>
          <w:lang w:val="fr-FR"/>
        </w:rPr>
      </w:pPr>
      <w:r w:rsidRPr="004E4ED4">
        <w:rPr>
          <w:rFonts w:ascii="Times New Roman" w:hAnsi="Times New Roman"/>
          <w:lang w:val="fr-FR"/>
        </w:rPr>
        <w:t>« il existe des situations très particulières dans lesquelles, en dépit du fait que le droit secondaire relatif au droit de séjour des ressortissants de pays tiers n’est pas applicable et que le citoyen de l’Union concerné n’a pas fait usage de sa liberté de circulation, un droit de séjour ne saurait, exceptionnellement, être refusé à un ressortissant d’un pays tiers, membre de la famille dudit citoyen, sous peine de méconnaître l’effet utile de la citoyenneté de l’Union dont il jouit, si, comme conséquence d’un tel refus, ce citoyen se voyait obligé, en fait, de quitter le territoire de l’Union pris dans son ensemble, en le privant ainsi de la jouissance effective de l’essentiel des droits conférés par ce statut”</w:t>
      </w:r>
    </w:p>
    <w:p w:rsidR="00E90B84" w:rsidRPr="004E4ED4" w:rsidRDefault="00E90B84" w:rsidP="008E069E">
      <w:pPr>
        <w:spacing w:before="120" w:line="360" w:lineRule="auto"/>
        <w:ind w:left="720"/>
        <w:rPr>
          <w:rFonts w:ascii="Times New Roman" w:hAnsi="Times New Roman"/>
          <w:lang w:val="fr-FR"/>
        </w:rPr>
      </w:pPr>
    </w:p>
    <w:p w:rsidR="00E90B84" w:rsidRPr="004E4ED4" w:rsidRDefault="00A779A7" w:rsidP="008E069E">
      <w:pPr>
        <w:spacing w:before="120" w:line="360" w:lineRule="auto"/>
        <w:ind w:left="720"/>
        <w:rPr>
          <w:rFonts w:ascii="Times New Roman" w:hAnsi="Times New Roman"/>
          <w:lang w:val="fr-FR"/>
        </w:rPr>
      </w:pPr>
      <w:r w:rsidRPr="004E4ED4">
        <w:rPr>
          <w:rFonts w:ascii="Times New Roman" w:hAnsi="Times New Roman"/>
          <w:lang w:val="fr-FR"/>
        </w:rPr>
        <w:t xml:space="preserve">CJUE, </w:t>
      </w:r>
      <w:r w:rsidR="00284428" w:rsidRPr="004E4ED4">
        <w:rPr>
          <w:rFonts w:ascii="Times New Roman" w:hAnsi="Times New Roman"/>
          <w:lang w:val="fr-FR"/>
        </w:rPr>
        <w:t xml:space="preserve">10 octobre 2013, </w:t>
      </w:r>
      <w:proofErr w:type="spellStart"/>
      <w:r w:rsidRPr="004E4ED4">
        <w:rPr>
          <w:rFonts w:ascii="Times New Roman" w:hAnsi="Times New Roman"/>
          <w:b/>
          <w:lang w:val="fr-FR"/>
        </w:rPr>
        <w:t>Alokpa</w:t>
      </w:r>
      <w:proofErr w:type="spellEnd"/>
      <w:r w:rsidRPr="004E4ED4">
        <w:rPr>
          <w:rFonts w:ascii="Times New Roman" w:hAnsi="Times New Roman"/>
          <w:lang w:val="fr-FR"/>
        </w:rPr>
        <w:t xml:space="preserve">, </w:t>
      </w:r>
      <w:proofErr w:type="spellStart"/>
      <w:r w:rsidR="0071270A" w:rsidRPr="004E4ED4">
        <w:rPr>
          <w:rFonts w:ascii="Times New Roman" w:hAnsi="Times New Roman"/>
          <w:lang w:val="fr-FR"/>
        </w:rPr>
        <w:t>aff</w:t>
      </w:r>
      <w:proofErr w:type="spellEnd"/>
      <w:r w:rsidR="0071270A" w:rsidRPr="004E4ED4">
        <w:rPr>
          <w:rFonts w:ascii="Times New Roman" w:hAnsi="Times New Roman"/>
          <w:lang w:val="fr-FR"/>
        </w:rPr>
        <w:t>. C-86/12</w:t>
      </w:r>
      <w:r w:rsidR="00A5218F" w:rsidRPr="004E4ED4">
        <w:rPr>
          <w:rFonts w:ascii="Times New Roman" w:hAnsi="Times New Roman"/>
          <w:lang w:val="fr-FR"/>
        </w:rPr>
        <w:t xml:space="preserve">, </w:t>
      </w:r>
      <w:r w:rsidR="00A5218F" w:rsidRPr="004E4ED4">
        <w:rPr>
          <w:rFonts w:ascii="Times New Roman" w:hAnsi="Times New Roman"/>
        </w:rPr>
        <w:t xml:space="preserve">non encore </w:t>
      </w:r>
      <w:proofErr w:type="spellStart"/>
      <w:r w:rsidR="00A5218F" w:rsidRPr="004E4ED4">
        <w:rPr>
          <w:rFonts w:ascii="Times New Roman" w:hAnsi="Times New Roman"/>
        </w:rPr>
        <w:t>publié</w:t>
      </w:r>
      <w:proofErr w:type="spellEnd"/>
      <w:r w:rsidR="0071270A" w:rsidRPr="004E4ED4">
        <w:rPr>
          <w:rFonts w:ascii="Times New Roman" w:hAnsi="Times New Roman"/>
          <w:lang w:val="fr-FR"/>
        </w:rPr>
        <w:t>.</w:t>
      </w:r>
    </w:p>
    <w:p w:rsidR="00E90B84" w:rsidRPr="004E4ED4" w:rsidRDefault="00E90B84" w:rsidP="008E069E">
      <w:pPr>
        <w:pStyle w:val="c01pointnumerotealtn"/>
        <w:spacing w:beforeLines="0" w:afterLines="0" w:line="360" w:lineRule="auto"/>
        <w:ind w:left="1440"/>
        <w:rPr>
          <w:rFonts w:ascii="Times New Roman" w:hAnsi="Times New Roman" w:cs="Times New Roman"/>
          <w:sz w:val="24"/>
          <w:lang w:val="fr-FR"/>
        </w:rPr>
      </w:pPr>
      <w:r w:rsidRPr="004E4ED4">
        <w:rPr>
          <w:rFonts w:ascii="Times New Roman" w:hAnsi="Times New Roman"/>
          <w:sz w:val="24"/>
          <w:lang w:val="fr-FR"/>
        </w:rPr>
        <w:t xml:space="preserve">Point 30 : </w:t>
      </w:r>
      <w:r w:rsidRPr="004E4ED4">
        <w:rPr>
          <w:rFonts w:ascii="Times New Roman" w:hAnsi="Times New Roman" w:cs="Times New Roman"/>
          <w:sz w:val="24"/>
          <w:lang w:val="fr-FR"/>
        </w:rPr>
        <w:t xml:space="preserve">En l’espèce, il appartient à la juridiction de renvoi de vérifier si les enfants de </w:t>
      </w:r>
      <w:proofErr w:type="spellStart"/>
      <w:r w:rsidRPr="004E4ED4">
        <w:rPr>
          <w:rFonts w:ascii="Times New Roman" w:hAnsi="Times New Roman" w:cs="Times New Roman"/>
          <w:sz w:val="24"/>
          <w:lang w:val="fr-FR"/>
        </w:rPr>
        <w:t>M</w:t>
      </w:r>
      <w:r w:rsidRPr="004E4ED4">
        <w:rPr>
          <w:rFonts w:ascii="Times New Roman" w:hAnsi="Times New Roman" w:cs="Times New Roman"/>
          <w:sz w:val="24"/>
          <w:vertAlign w:val="superscript"/>
          <w:lang w:val="fr-FR"/>
        </w:rPr>
        <w:t>me</w:t>
      </w:r>
      <w:r w:rsidRPr="004E4ED4">
        <w:rPr>
          <w:rFonts w:ascii="Times New Roman" w:hAnsi="Times New Roman" w:cs="Times New Roman"/>
          <w:sz w:val="24"/>
          <w:lang w:val="fr-FR"/>
        </w:rPr>
        <w:t>Alokpa</w:t>
      </w:r>
      <w:proofErr w:type="spellEnd"/>
      <w:r w:rsidRPr="004E4ED4">
        <w:rPr>
          <w:rFonts w:ascii="Times New Roman" w:hAnsi="Times New Roman" w:cs="Times New Roman"/>
          <w:sz w:val="24"/>
          <w:lang w:val="fr-FR"/>
        </w:rPr>
        <w:t xml:space="preserve"> remplissent</w:t>
      </w:r>
      <w:r w:rsidR="00E76C22" w:rsidRPr="004E4ED4">
        <w:rPr>
          <w:rFonts w:ascii="Times New Roman" w:hAnsi="Times New Roman" w:cs="Times New Roman"/>
          <w:sz w:val="24"/>
          <w:lang w:val="fr-FR"/>
        </w:rPr>
        <w:t xml:space="preserve"> </w:t>
      </w:r>
      <w:r w:rsidRPr="004E4ED4">
        <w:rPr>
          <w:rFonts w:ascii="Times New Roman" w:hAnsi="Times New Roman" w:cs="Times New Roman"/>
          <w:sz w:val="24"/>
          <w:lang w:val="fr-FR"/>
        </w:rPr>
        <w:t>les conditions fixées à l’article 7, paragraphe 1, de la directive 2004/38et bénéficient,</w:t>
      </w:r>
      <w:r w:rsidR="00E76C22" w:rsidRPr="004E4ED4">
        <w:rPr>
          <w:rFonts w:ascii="Times New Roman" w:hAnsi="Times New Roman" w:cs="Times New Roman"/>
          <w:sz w:val="24"/>
          <w:lang w:val="fr-FR"/>
        </w:rPr>
        <w:t xml:space="preserve"> </w:t>
      </w:r>
      <w:r w:rsidRPr="004E4ED4">
        <w:rPr>
          <w:rFonts w:ascii="Times New Roman" w:hAnsi="Times New Roman" w:cs="Times New Roman"/>
          <w:sz w:val="24"/>
          <w:lang w:val="fr-FR"/>
        </w:rPr>
        <w:t xml:space="preserve">dès lors, d’un droit de séjour dans l’État membre d’accueil sur le fondement de l’article 21 TFUE. En particulier, cette juridiction doit vérifier si lesdits enfants disposent, par eux-mêmes ou par l’intermédiaire de leur mère, de </w:t>
      </w:r>
      <w:r w:rsidRPr="004E4ED4">
        <w:rPr>
          <w:rFonts w:ascii="Times New Roman" w:hAnsi="Times New Roman" w:cs="Times New Roman"/>
          <w:b/>
          <w:sz w:val="24"/>
          <w:lang w:val="fr-FR"/>
        </w:rPr>
        <w:t>ressources suffisantes</w:t>
      </w:r>
      <w:r w:rsidRPr="004E4ED4">
        <w:rPr>
          <w:rFonts w:ascii="Times New Roman" w:hAnsi="Times New Roman" w:cs="Times New Roman"/>
          <w:sz w:val="24"/>
          <w:lang w:val="fr-FR"/>
        </w:rPr>
        <w:t xml:space="preserve"> et d’une assurance maladie complète, au sens de l’article 7, paragraphe 1, sous b), de la directive 2004/38.</w:t>
      </w:r>
      <w:r w:rsidR="00E76C22" w:rsidRPr="004E4ED4">
        <w:rPr>
          <w:rFonts w:ascii="Times New Roman" w:hAnsi="Times New Roman" w:cs="Times New Roman"/>
          <w:sz w:val="24"/>
          <w:lang w:val="fr-FR"/>
        </w:rPr>
        <w:t xml:space="preserve"> (</w:t>
      </w:r>
      <w:proofErr w:type="gramStart"/>
      <w:r w:rsidR="00E76C22" w:rsidRPr="004E4ED4">
        <w:rPr>
          <w:rFonts w:ascii="Times New Roman" w:hAnsi="Times New Roman" w:cs="Times New Roman"/>
          <w:sz w:val="24"/>
          <w:lang w:val="fr-FR"/>
        </w:rPr>
        <w:t>hypothèse</w:t>
      </w:r>
      <w:proofErr w:type="gramEnd"/>
      <w:r w:rsidR="00E76C22" w:rsidRPr="004E4ED4">
        <w:rPr>
          <w:rFonts w:ascii="Times New Roman" w:hAnsi="Times New Roman" w:cs="Times New Roman"/>
          <w:sz w:val="24"/>
          <w:lang w:val="fr-FR"/>
        </w:rPr>
        <w:t xml:space="preserve"> Zhu et Chen)</w:t>
      </w:r>
    </w:p>
    <w:p w:rsidR="00E76C22" w:rsidRPr="004E4ED4" w:rsidRDefault="00E76C22" w:rsidP="008E069E">
      <w:pPr>
        <w:pStyle w:val="c01pointnumerotealtn"/>
        <w:spacing w:beforeLines="0" w:afterLines="0" w:line="360" w:lineRule="auto"/>
        <w:ind w:left="1440"/>
        <w:rPr>
          <w:rFonts w:ascii="Times New Roman" w:hAnsi="Times New Roman" w:cs="Times New Roman"/>
          <w:sz w:val="24"/>
          <w:lang w:val="fr-FR"/>
        </w:rPr>
      </w:pPr>
      <w:bookmarkStart w:id="13" w:name="point32"/>
      <w:r w:rsidRPr="004E4ED4">
        <w:rPr>
          <w:rFonts w:ascii="Times New Roman" w:hAnsi="Times New Roman" w:cs="Times New Roman"/>
          <w:sz w:val="24"/>
          <w:lang w:val="fr-FR"/>
        </w:rPr>
        <w:t>32</w:t>
      </w:r>
      <w:bookmarkEnd w:id="13"/>
      <w:r w:rsidRPr="004E4ED4">
        <w:rPr>
          <w:rFonts w:ascii="Times New Roman" w:hAnsi="Times New Roman" w:cs="Times New Roman"/>
          <w:sz w:val="24"/>
          <w:lang w:val="fr-FR"/>
        </w:rPr>
        <w:t>      S’agissant, en second lieu, de l’article 20 TFUE, la Cour a constaté qu’il existe des situations très particulières dans lesquelles, en dépit du fait que le droit secondaire relatif au droit de séjour des ressortissants de pays tiers n’est pas applicable et que le citoyen de l’Union concerné n’a pas fait usage de sa liberté de circulation, un droit de séjour ne saurait, exceptionnellement, être refusé à un ressortissant d’un pays tiers, membre de la famille dudit citoyen, sous peine de méconnaître l’effet utile de la citoyenneté de l’Union dont il jouit, si, comme conséquence d’un tel refus, ce citoyen se voyait obligé, en fait, de quitter le territoire de l’Union pris dans son ensemble, en le privant ainsi de la jouissance effective de l’essentiel des droits conférés par le statut de citoyen de l’Union.</w:t>
      </w:r>
    </w:p>
    <w:p w:rsidR="007638FC" w:rsidRPr="004E4ED4" w:rsidRDefault="007638FC" w:rsidP="008E069E">
      <w:pPr>
        <w:spacing w:before="120" w:line="360" w:lineRule="auto"/>
        <w:ind w:left="720"/>
        <w:rPr>
          <w:rFonts w:ascii="Times New Roman" w:hAnsi="Times New Roman"/>
          <w:lang w:val="fr-FR"/>
        </w:rPr>
      </w:pPr>
    </w:p>
    <w:p w:rsidR="00615726" w:rsidRPr="004E4ED4" w:rsidRDefault="00615726" w:rsidP="008E069E">
      <w:pPr>
        <w:spacing w:before="120" w:line="360" w:lineRule="auto"/>
        <w:ind w:left="720"/>
        <w:rPr>
          <w:rFonts w:ascii="Times New Roman" w:hAnsi="Times New Roman"/>
          <w:lang w:val="fr-FR"/>
        </w:rPr>
      </w:pPr>
    </w:p>
    <w:p w:rsidR="00615726" w:rsidRPr="004E4ED4" w:rsidRDefault="00615726" w:rsidP="008E069E">
      <w:pPr>
        <w:spacing w:before="120" w:line="360" w:lineRule="auto"/>
        <w:ind w:left="720"/>
        <w:rPr>
          <w:rFonts w:ascii="Times New Roman" w:hAnsi="Times New Roman"/>
          <w:lang w:val="fr-FR"/>
        </w:rPr>
      </w:pPr>
    </w:p>
    <w:p w:rsidR="00615726" w:rsidRPr="004E4ED4" w:rsidRDefault="00615726" w:rsidP="008E069E">
      <w:pPr>
        <w:spacing w:before="120" w:line="360" w:lineRule="auto"/>
        <w:ind w:left="720"/>
        <w:rPr>
          <w:rFonts w:ascii="Times New Roman" w:hAnsi="Times New Roman"/>
          <w:lang w:val="fr-FR"/>
        </w:rPr>
      </w:pPr>
    </w:p>
    <w:p w:rsidR="007638FC" w:rsidRPr="004E4ED4" w:rsidRDefault="007638FC" w:rsidP="008E069E">
      <w:pPr>
        <w:spacing w:before="120" w:line="360" w:lineRule="auto"/>
        <w:ind w:left="720"/>
        <w:rPr>
          <w:rFonts w:ascii="Times New Roman" w:hAnsi="Times New Roman"/>
          <w:lang w:val="fr-FR"/>
        </w:rPr>
      </w:pPr>
    </w:p>
    <w:p w:rsidR="00C05922" w:rsidRPr="004E4ED4" w:rsidRDefault="00A779A7" w:rsidP="008E069E">
      <w:pPr>
        <w:spacing w:before="120" w:line="360" w:lineRule="auto"/>
        <w:ind w:left="720"/>
        <w:rPr>
          <w:rFonts w:ascii="Times New Roman" w:hAnsi="Times New Roman"/>
          <w:lang w:val="fr-FR"/>
        </w:rPr>
      </w:pPr>
      <w:r w:rsidRPr="004E4ED4">
        <w:rPr>
          <w:rFonts w:ascii="Times New Roman" w:hAnsi="Times New Roman"/>
          <w:lang w:val="fr-FR"/>
        </w:rPr>
        <w:t xml:space="preserve">Par application des </w:t>
      </w:r>
      <w:r w:rsidR="00195FCC" w:rsidRPr="004E4ED4">
        <w:rPr>
          <w:rFonts w:ascii="Times New Roman" w:hAnsi="Times New Roman"/>
          <w:lang w:val="fr-FR"/>
        </w:rPr>
        <w:t>droits fondamentaux (</w:t>
      </w:r>
      <w:r w:rsidRPr="004E4ED4">
        <w:rPr>
          <w:rFonts w:ascii="Times New Roman" w:hAnsi="Times New Roman"/>
          <w:lang w:val="fr-FR"/>
        </w:rPr>
        <w:t xml:space="preserve">droit à une </w:t>
      </w:r>
      <w:r w:rsidR="00195FCC" w:rsidRPr="004E4ED4">
        <w:rPr>
          <w:rFonts w:ascii="Times New Roman" w:hAnsi="Times New Roman"/>
          <w:lang w:val="fr-FR"/>
        </w:rPr>
        <w:t xml:space="preserve">vie familiale </w:t>
      </w:r>
      <w:r w:rsidRPr="004E4ED4">
        <w:rPr>
          <w:rFonts w:ascii="Times New Roman" w:hAnsi="Times New Roman"/>
          <w:lang w:val="fr-FR"/>
        </w:rPr>
        <w:t>normale, regroupement familial</w:t>
      </w:r>
      <w:proofErr w:type="gramStart"/>
      <w:r w:rsidRPr="004E4ED4">
        <w:rPr>
          <w:rFonts w:ascii="Times New Roman" w:hAnsi="Times New Roman"/>
          <w:lang w:val="fr-FR"/>
        </w:rPr>
        <w:t>, …</w:t>
      </w:r>
      <w:r w:rsidR="00195FCC" w:rsidRPr="004E4ED4">
        <w:rPr>
          <w:rFonts w:ascii="Times New Roman" w:hAnsi="Times New Roman"/>
          <w:lang w:val="fr-FR"/>
        </w:rPr>
        <w:t>)</w:t>
      </w:r>
      <w:proofErr w:type="gramEnd"/>
      <w:r w:rsidR="00195FCC" w:rsidRPr="004E4ED4">
        <w:rPr>
          <w:rFonts w:ascii="Times New Roman" w:hAnsi="Times New Roman"/>
          <w:lang w:val="fr-FR"/>
        </w:rPr>
        <w:t xml:space="preserve"> </w:t>
      </w:r>
      <w:r w:rsidRPr="004E4ED4">
        <w:rPr>
          <w:rFonts w:ascii="Times New Roman" w:hAnsi="Times New Roman"/>
          <w:lang w:val="fr-FR"/>
        </w:rPr>
        <w:t xml:space="preserve">un droit de séjour peut </w:t>
      </w:r>
      <w:r w:rsidR="0071270A" w:rsidRPr="004E4ED4">
        <w:rPr>
          <w:rFonts w:ascii="Times New Roman" w:hAnsi="Times New Roman"/>
          <w:lang w:val="fr-FR"/>
        </w:rPr>
        <w:t xml:space="preserve">éventuellement </w:t>
      </w:r>
      <w:r w:rsidRPr="004E4ED4">
        <w:rPr>
          <w:rFonts w:ascii="Times New Roman" w:hAnsi="Times New Roman"/>
          <w:lang w:val="fr-FR"/>
        </w:rPr>
        <w:t xml:space="preserve">être inféré à condition que l’objet du litige relève du </w:t>
      </w:r>
      <w:r w:rsidR="00195FCC" w:rsidRPr="004E4ED4">
        <w:rPr>
          <w:rFonts w:ascii="Times New Roman" w:hAnsi="Times New Roman"/>
          <w:lang w:val="fr-FR"/>
        </w:rPr>
        <w:t>champ d’application Charte</w:t>
      </w:r>
      <w:r w:rsidRPr="004E4ED4">
        <w:rPr>
          <w:rFonts w:ascii="Times New Roman" w:hAnsi="Times New Roman"/>
          <w:lang w:val="fr-FR"/>
        </w:rPr>
        <w:t xml:space="preserve">, ce qui est parfois </w:t>
      </w:r>
      <w:r w:rsidR="00195FCC" w:rsidRPr="004E4ED4">
        <w:rPr>
          <w:rFonts w:ascii="Times New Roman" w:hAnsi="Times New Roman"/>
          <w:lang w:val="fr-FR"/>
        </w:rPr>
        <w:t xml:space="preserve">laissé à </w:t>
      </w:r>
      <w:r w:rsidR="007A2605" w:rsidRPr="004E4ED4">
        <w:rPr>
          <w:rFonts w:ascii="Times New Roman" w:hAnsi="Times New Roman"/>
          <w:lang w:val="fr-FR"/>
        </w:rPr>
        <w:t>l’appréciation du juge national</w:t>
      </w:r>
      <w:r w:rsidR="0034182F" w:rsidRPr="004E4ED4">
        <w:rPr>
          <w:rFonts w:ascii="Times New Roman" w:hAnsi="Times New Roman"/>
          <w:lang w:val="fr-FR"/>
        </w:rPr>
        <w:t>,</w:t>
      </w:r>
      <w:r w:rsidRPr="004E4ED4">
        <w:rPr>
          <w:rFonts w:ascii="Times New Roman" w:hAnsi="Times New Roman"/>
          <w:lang w:val="fr-FR"/>
        </w:rPr>
        <w:t xml:space="preserve"> CJUE</w:t>
      </w:r>
      <w:r w:rsidR="0071270A" w:rsidRPr="004E4ED4">
        <w:rPr>
          <w:rFonts w:ascii="Times New Roman" w:hAnsi="Times New Roman"/>
          <w:lang w:val="fr-FR"/>
        </w:rPr>
        <w:t>,</w:t>
      </w:r>
      <w:r w:rsidR="00195FCC" w:rsidRPr="004E4ED4">
        <w:rPr>
          <w:rFonts w:ascii="Times New Roman" w:hAnsi="Times New Roman"/>
          <w:lang w:val="fr-FR"/>
        </w:rPr>
        <w:t xml:space="preserve"> </w:t>
      </w:r>
      <w:proofErr w:type="spellStart"/>
      <w:r w:rsidR="00195FCC" w:rsidRPr="004E4ED4">
        <w:rPr>
          <w:rFonts w:ascii="Times New Roman" w:hAnsi="Times New Roman"/>
          <w:lang w:val="fr-FR"/>
        </w:rPr>
        <w:t>Dereci</w:t>
      </w:r>
      <w:proofErr w:type="spellEnd"/>
      <w:r w:rsidR="007A2605" w:rsidRPr="004E4ED4">
        <w:rPr>
          <w:rFonts w:ascii="Times New Roman" w:hAnsi="Times New Roman"/>
          <w:lang w:val="fr-FR"/>
        </w:rPr>
        <w:t xml:space="preserve">, </w:t>
      </w:r>
      <w:r w:rsidR="0071270A" w:rsidRPr="004E4ED4">
        <w:rPr>
          <w:rFonts w:ascii="Times New Roman" w:hAnsi="Times New Roman"/>
          <w:lang w:val="fr-FR"/>
        </w:rPr>
        <w:t xml:space="preserve">15 novembre 2011, </w:t>
      </w:r>
      <w:proofErr w:type="spellStart"/>
      <w:r w:rsidR="0071270A" w:rsidRPr="004E4ED4">
        <w:rPr>
          <w:rFonts w:ascii="Times New Roman" w:hAnsi="Times New Roman"/>
          <w:lang w:val="fr-FR"/>
        </w:rPr>
        <w:t>aff</w:t>
      </w:r>
      <w:proofErr w:type="spellEnd"/>
      <w:r w:rsidR="0071270A" w:rsidRPr="004E4ED4">
        <w:rPr>
          <w:rFonts w:ascii="Times New Roman" w:hAnsi="Times New Roman"/>
          <w:lang w:val="fr-FR"/>
        </w:rPr>
        <w:t>. C-256/11,</w:t>
      </w:r>
      <w:r w:rsidR="00A5218F" w:rsidRPr="004E4ED4">
        <w:rPr>
          <w:rFonts w:ascii="Times New Roman" w:hAnsi="Times New Roman"/>
          <w:lang w:val="fr-FR"/>
        </w:rPr>
        <w:t xml:space="preserve"> Rec. </w:t>
      </w:r>
      <w:r w:rsidR="00A5218F" w:rsidRPr="004E4ED4">
        <w:rPr>
          <w:rFonts w:ascii="Times New Roman" w:hAnsi="Times New Roman"/>
          <w:lang w:val="fr-LU"/>
        </w:rPr>
        <w:t>2011 I-11315,</w:t>
      </w:r>
      <w:r w:rsidR="0071270A" w:rsidRPr="004E4ED4">
        <w:rPr>
          <w:rFonts w:ascii="Times New Roman" w:hAnsi="Times New Roman"/>
          <w:lang w:val="fr-FR"/>
        </w:rPr>
        <w:t xml:space="preserve"> mais parfois directement décidé par la Cour de justice CJUE, 8 novembre 2012, </w:t>
      </w:r>
      <w:proofErr w:type="spellStart"/>
      <w:r w:rsidR="007A2605" w:rsidRPr="004E4ED4">
        <w:rPr>
          <w:rFonts w:ascii="Times New Roman" w:hAnsi="Times New Roman"/>
          <w:lang w:val="fr-FR"/>
        </w:rPr>
        <w:t>Iida</w:t>
      </w:r>
      <w:proofErr w:type="spellEnd"/>
      <w:r w:rsidR="0071270A" w:rsidRPr="004E4ED4">
        <w:rPr>
          <w:rFonts w:ascii="Times New Roman" w:hAnsi="Times New Roman"/>
          <w:lang w:val="fr-FR"/>
        </w:rPr>
        <w:t xml:space="preserve">, </w:t>
      </w:r>
      <w:proofErr w:type="spellStart"/>
      <w:r w:rsidR="0071270A" w:rsidRPr="004E4ED4">
        <w:rPr>
          <w:rFonts w:ascii="Times New Roman" w:hAnsi="Times New Roman"/>
          <w:lang w:val="fr-FR"/>
        </w:rPr>
        <w:t>aff</w:t>
      </w:r>
      <w:proofErr w:type="spellEnd"/>
      <w:r w:rsidR="0071270A" w:rsidRPr="004E4ED4">
        <w:rPr>
          <w:rFonts w:ascii="Times New Roman" w:hAnsi="Times New Roman"/>
          <w:lang w:val="fr-FR"/>
        </w:rPr>
        <w:t>. C-40/11</w:t>
      </w:r>
      <w:r w:rsidR="00982981" w:rsidRPr="004E4ED4">
        <w:rPr>
          <w:rFonts w:ascii="Times New Roman" w:hAnsi="Times New Roman"/>
          <w:lang w:val="fr-FR"/>
        </w:rPr>
        <w:t>,</w:t>
      </w:r>
      <w:r w:rsidR="00A5218F" w:rsidRPr="004E4ED4">
        <w:rPr>
          <w:rFonts w:ascii="Times New Roman" w:hAnsi="Times New Roman"/>
          <w:lang w:val="fr-FR"/>
        </w:rPr>
        <w:t xml:space="preserve"> </w:t>
      </w:r>
      <w:r w:rsidR="00A5218F" w:rsidRPr="004E4ED4">
        <w:rPr>
          <w:rFonts w:ascii="Times New Roman" w:hAnsi="Times New Roman"/>
        </w:rPr>
        <w:t xml:space="preserve">non encore </w:t>
      </w:r>
      <w:proofErr w:type="spellStart"/>
      <w:r w:rsidR="00A5218F" w:rsidRPr="004E4ED4">
        <w:rPr>
          <w:rFonts w:ascii="Times New Roman" w:hAnsi="Times New Roman"/>
        </w:rPr>
        <w:t>publié</w:t>
      </w:r>
      <w:proofErr w:type="spellEnd"/>
      <w:r w:rsidR="00982981" w:rsidRPr="004E4ED4">
        <w:rPr>
          <w:rFonts w:ascii="Times New Roman" w:hAnsi="Times New Roman"/>
          <w:lang w:val="fr-FR"/>
        </w:rPr>
        <w:t xml:space="preserve"> (appliquant l’exception </w:t>
      </w:r>
      <w:proofErr w:type="spellStart"/>
      <w:r w:rsidR="00982981" w:rsidRPr="004E4ED4">
        <w:rPr>
          <w:rFonts w:ascii="Times New Roman" w:hAnsi="Times New Roman"/>
          <w:lang w:val="fr-FR"/>
        </w:rPr>
        <w:t>Annibaldi</w:t>
      </w:r>
      <w:proofErr w:type="spellEnd"/>
      <w:r w:rsidR="00982981" w:rsidRPr="004E4ED4">
        <w:rPr>
          <w:rFonts w:ascii="Times New Roman" w:hAnsi="Times New Roman"/>
          <w:lang w:val="fr-FR"/>
        </w:rPr>
        <w:t>)</w:t>
      </w:r>
      <w:r w:rsidR="0071270A" w:rsidRPr="004E4ED4">
        <w:rPr>
          <w:rFonts w:ascii="Times New Roman" w:hAnsi="Times New Roman"/>
          <w:lang w:val="fr-FR"/>
        </w:rPr>
        <w:t>.</w:t>
      </w:r>
    </w:p>
    <w:p w:rsidR="00053807" w:rsidRPr="004E4ED4" w:rsidRDefault="00053807" w:rsidP="008E069E">
      <w:pPr>
        <w:spacing w:before="120" w:line="360" w:lineRule="auto"/>
        <w:rPr>
          <w:rFonts w:ascii="Times New Roman" w:hAnsi="Times New Roman"/>
          <w:lang w:val="fr-FR"/>
        </w:rPr>
      </w:pPr>
    </w:p>
    <w:p w:rsidR="00615726" w:rsidRPr="004E4ED4" w:rsidRDefault="00615726" w:rsidP="008E069E">
      <w:pPr>
        <w:spacing w:before="120" w:line="360" w:lineRule="auto"/>
        <w:rPr>
          <w:rFonts w:ascii="Times New Roman" w:hAnsi="Times New Roman"/>
          <w:lang w:val="fr-FR"/>
        </w:rPr>
      </w:pPr>
    </w:p>
    <w:p w:rsidR="00615726" w:rsidRPr="004E4ED4" w:rsidRDefault="00615726" w:rsidP="008E069E">
      <w:pPr>
        <w:spacing w:before="120" w:line="360" w:lineRule="auto"/>
        <w:rPr>
          <w:rFonts w:ascii="Times New Roman" w:hAnsi="Times New Roman"/>
          <w:lang w:val="fr-FR"/>
        </w:rPr>
      </w:pPr>
    </w:p>
    <w:p w:rsidR="009E0E6D" w:rsidRPr="004E4ED4" w:rsidRDefault="009E0E6D" w:rsidP="008E069E">
      <w:pPr>
        <w:spacing w:before="120" w:line="360" w:lineRule="auto"/>
        <w:rPr>
          <w:rFonts w:ascii="Times New Roman" w:hAnsi="Times New Roman"/>
          <w:lang w:val="fr-FR"/>
        </w:rPr>
      </w:pPr>
    </w:p>
    <w:p w:rsidR="006271C8" w:rsidRPr="004E4ED4" w:rsidRDefault="009E0E6D" w:rsidP="008E069E">
      <w:pPr>
        <w:spacing w:before="120" w:line="360" w:lineRule="auto"/>
        <w:jc w:val="both"/>
        <w:rPr>
          <w:rFonts w:ascii="Times New Roman" w:hAnsi="Times New Roman"/>
          <w:lang w:val="fr-FR"/>
        </w:rPr>
      </w:pPr>
      <w:r w:rsidRPr="004E4ED4">
        <w:rPr>
          <w:rFonts w:ascii="Times New Roman" w:hAnsi="Times New Roman"/>
          <w:lang w:val="fr-FR"/>
        </w:rPr>
        <w:t xml:space="preserve">En guise de conclusion on ne peut que se demander si </w:t>
      </w:r>
      <w:r w:rsidR="006271C8" w:rsidRPr="004E4ED4">
        <w:rPr>
          <w:rFonts w:ascii="Times New Roman" w:hAnsi="Times New Roman"/>
          <w:lang w:val="fr-FR"/>
        </w:rPr>
        <w:t>état de choses,</w:t>
      </w:r>
      <w:r w:rsidRPr="004E4ED4">
        <w:rPr>
          <w:rFonts w:ascii="Times New Roman" w:hAnsi="Times New Roman"/>
          <w:lang w:val="fr-FR"/>
        </w:rPr>
        <w:t xml:space="preserve"> qui a été </w:t>
      </w:r>
      <w:r w:rsidR="00640B5E" w:rsidRPr="004E4ED4">
        <w:rPr>
          <w:rFonts w:ascii="Times New Roman" w:hAnsi="Times New Roman"/>
          <w:lang w:val="fr-FR"/>
        </w:rPr>
        <w:t xml:space="preserve">fustigé, à juste titre, </w:t>
      </w:r>
      <w:r w:rsidR="006271C8" w:rsidRPr="004E4ED4">
        <w:rPr>
          <w:rFonts w:ascii="Times New Roman" w:hAnsi="Times New Roman"/>
          <w:lang w:val="fr-FR"/>
        </w:rPr>
        <w:t xml:space="preserve">comme </w:t>
      </w:r>
      <w:r w:rsidRPr="004E4ED4">
        <w:rPr>
          <w:rFonts w:ascii="Times New Roman" w:hAnsi="Times New Roman"/>
          <w:lang w:val="fr-FR"/>
        </w:rPr>
        <w:t xml:space="preserve">une </w:t>
      </w:r>
      <w:r w:rsidR="00053807" w:rsidRPr="004E4ED4">
        <w:rPr>
          <w:rFonts w:ascii="Times New Roman" w:hAnsi="Times New Roman"/>
          <w:lang w:val="fr-FR"/>
        </w:rPr>
        <w:t>« </w:t>
      </w:r>
      <w:r w:rsidR="00C05922" w:rsidRPr="004E4ED4">
        <w:rPr>
          <w:rFonts w:ascii="Times New Roman" w:hAnsi="Times New Roman"/>
          <w:lang w:val="fr-FR"/>
        </w:rPr>
        <w:t xml:space="preserve">prime à la </w:t>
      </w:r>
      <w:r w:rsidR="00053807" w:rsidRPr="004E4ED4">
        <w:rPr>
          <w:rFonts w:ascii="Times New Roman" w:hAnsi="Times New Roman"/>
          <w:lang w:val="fr-FR"/>
        </w:rPr>
        <w:t>bougeotte »</w:t>
      </w:r>
      <w:r w:rsidR="00640B5E" w:rsidRPr="004E4ED4">
        <w:rPr>
          <w:rFonts w:ascii="Times New Roman" w:hAnsi="Times New Roman"/>
          <w:lang w:val="fr-FR"/>
        </w:rPr>
        <w:t>,</w:t>
      </w:r>
      <w:r w:rsidR="00640B5E" w:rsidRPr="004E4ED4">
        <w:rPr>
          <w:rStyle w:val="FootnoteReference"/>
          <w:rFonts w:ascii="Times New Roman" w:hAnsi="Times New Roman"/>
          <w:lang w:val="fr-FR"/>
        </w:rPr>
        <w:footnoteReference w:id="7"/>
      </w:r>
      <w:r w:rsidR="006271C8" w:rsidRPr="004E4ED4">
        <w:rPr>
          <w:rFonts w:ascii="Times New Roman" w:hAnsi="Times New Roman"/>
          <w:lang w:val="fr-FR"/>
        </w:rPr>
        <w:t xml:space="preserve"> n’est pas </w:t>
      </w:r>
      <w:r w:rsidR="00640B5E" w:rsidRPr="004E4ED4">
        <w:rPr>
          <w:rFonts w:ascii="Times New Roman" w:hAnsi="Times New Roman"/>
          <w:lang w:val="fr-FR"/>
        </w:rPr>
        <w:t>appelé</w:t>
      </w:r>
      <w:r w:rsidR="006271C8" w:rsidRPr="004E4ED4">
        <w:rPr>
          <w:rFonts w:ascii="Times New Roman" w:hAnsi="Times New Roman"/>
          <w:lang w:val="fr-FR"/>
        </w:rPr>
        <w:t xml:space="preserve"> à évoluer.</w:t>
      </w:r>
    </w:p>
    <w:p w:rsidR="00053807" w:rsidRPr="004E4ED4" w:rsidRDefault="00053807" w:rsidP="008E069E">
      <w:pPr>
        <w:spacing w:before="120" w:line="360" w:lineRule="auto"/>
        <w:jc w:val="both"/>
        <w:rPr>
          <w:rFonts w:ascii="Times New Roman" w:hAnsi="Times New Roman"/>
          <w:lang w:val="fr-FR"/>
        </w:rPr>
      </w:pPr>
    </w:p>
    <w:p w:rsidR="008379A4" w:rsidRPr="004E4ED4" w:rsidRDefault="006271C8" w:rsidP="008E069E">
      <w:pPr>
        <w:spacing w:before="120" w:line="360" w:lineRule="auto"/>
        <w:rPr>
          <w:rFonts w:ascii="Times New Roman" w:hAnsi="Times New Roman"/>
          <w:lang w:val="fr-FR"/>
        </w:rPr>
      </w:pPr>
      <w:r w:rsidRPr="004E4ED4">
        <w:rPr>
          <w:rFonts w:ascii="Times New Roman" w:hAnsi="Times New Roman"/>
          <w:lang w:val="fr-FR"/>
        </w:rPr>
        <w:t xml:space="preserve">La Cour ne devrait-elle pas aller vers un abandon de la notion de « situation purement interne » en matière de libre circulation des </w:t>
      </w:r>
      <w:r w:rsidR="00053807" w:rsidRPr="004E4ED4">
        <w:rPr>
          <w:rFonts w:ascii="Times New Roman" w:hAnsi="Times New Roman"/>
          <w:lang w:val="fr-FR"/>
        </w:rPr>
        <w:t xml:space="preserve"> citoyens européens</w:t>
      </w:r>
      <w:r w:rsidRPr="004E4ED4">
        <w:rPr>
          <w:rFonts w:ascii="Times New Roman" w:hAnsi="Times New Roman"/>
          <w:lang w:val="fr-FR"/>
        </w:rPr>
        <w:t> ?</w:t>
      </w:r>
      <w:r w:rsidR="002D20EB">
        <w:rPr>
          <w:rFonts w:ascii="Times New Roman" w:hAnsi="Times New Roman"/>
          <w:lang w:val="fr-FR"/>
        </w:rPr>
        <w:t xml:space="preserve"> </w:t>
      </w:r>
    </w:p>
    <w:sectPr w:rsidR="008379A4" w:rsidRPr="004E4ED4" w:rsidSect="008379A4">
      <w:footerReference w:type="even" r:id="rId7"/>
      <w:footerReference w:type="default" r:id="rId8"/>
      <w:pgSz w:w="11906" w:h="16838"/>
      <w:pgMar w:top="1418" w:right="1134" w:bottom="1418" w:left="1134" w:header="709" w:footer="851"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FE" w:rsidRDefault="006772FE">
      <w:r>
        <w:separator/>
      </w:r>
    </w:p>
  </w:endnote>
  <w:endnote w:type="continuationSeparator" w:id="0">
    <w:p w:rsidR="006772FE" w:rsidRDefault="00677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FE" w:rsidRDefault="006772FE" w:rsidP="00255C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72FE" w:rsidRDefault="006772FE" w:rsidP="00255CD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FE" w:rsidRDefault="006772FE" w:rsidP="00255C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0EB">
      <w:rPr>
        <w:rStyle w:val="PageNumber"/>
        <w:noProof/>
      </w:rPr>
      <w:t>15</w:t>
    </w:r>
    <w:r>
      <w:rPr>
        <w:rStyle w:val="PageNumber"/>
      </w:rPr>
      <w:fldChar w:fldCharType="end"/>
    </w:r>
  </w:p>
  <w:p w:rsidR="006772FE" w:rsidRDefault="006772FE" w:rsidP="00255CDD">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FE" w:rsidRDefault="006772FE">
      <w:r>
        <w:separator/>
      </w:r>
    </w:p>
  </w:footnote>
  <w:footnote w:type="continuationSeparator" w:id="0">
    <w:p w:rsidR="006772FE" w:rsidRDefault="006772FE">
      <w:r>
        <w:continuationSeparator/>
      </w:r>
    </w:p>
  </w:footnote>
  <w:footnote w:id="1">
    <w:p w:rsidR="006772FE" w:rsidRDefault="006772FE" w:rsidP="00633D7A">
      <w:pPr>
        <w:pStyle w:val="FootnoteText"/>
      </w:pPr>
      <w:r>
        <w:rPr>
          <w:rStyle w:val="FootnoteReference"/>
        </w:rPr>
        <w:footnoteRef/>
      </w:r>
      <w:r>
        <w:t xml:space="preserve"> </w:t>
      </w:r>
      <w:r>
        <w:tab/>
        <w:t xml:space="preserve">CJCE, arrêt du 17 septembre 2002, </w:t>
      </w:r>
      <w:proofErr w:type="spellStart"/>
      <w:r>
        <w:t>Baumbast</w:t>
      </w:r>
      <w:proofErr w:type="spellEnd"/>
      <w:r>
        <w:t xml:space="preserve">, </w:t>
      </w:r>
      <w:proofErr w:type="spellStart"/>
      <w:r>
        <w:t>aff</w:t>
      </w:r>
      <w:proofErr w:type="spellEnd"/>
      <w:r>
        <w:t xml:space="preserve">. C-413/99, Rec. I-7091, </w:t>
      </w:r>
      <w:proofErr w:type="spellStart"/>
      <w:r>
        <w:t>spéc</w:t>
      </w:r>
      <w:proofErr w:type="spellEnd"/>
      <w:r>
        <w:t xml:space="preserve">. </w:t>
      </w:r>
      <w:proofErr w:type="gramStart"/>
      <w:r>
        <w:t>points</w:t>
      </w:r>
      <w:proofErr w:type="gramEnd"/>
      <w:r>
        <w:t xml:space="preserve"> 84-86 citant l’</w:t>
      </w:r>
      <w:r w:rsidRPr="008E069E">
        <w:t xml:space="preserve">arrêt du 4 décembre 1974, Van </w:t>
      </w:r>
      <w:proofErr w:type="spellStart"/>
      <w:r w:rsidRPr="008E069E">
        <w:t>Duy</w:t>
      </w:r>
      <w:r>
        <w:t>n</w:t>
      </w:r>
      <w:proofErr w:type="spellEnd"/>
      <w:r>
        <w:t>, 41/74, Rec. p. 1337, point 7.</w:t>
      </w:r>
    </w:p>
  </w:footnote>
  <w:footnote w:id="2">
    <w:p w:rsidR="006772FE" w:rsidRPr="00A13345" w:rsidRDefault="006772FE" w:rsidP="00A13345">
      <w:pPr>
        <w:tabs>
          <w:tab w:val="left" w:pos="284"/>
        </w:tabs>
        <w:ind w:left="284" w:hanging="284"/>
        <w:jc w:val="both"/>
        <w:rPr>
          <w:rFonts w:ascii="Times New Roman" w:hAnsi="Times New Roman"/>
          <w:sz w:val="20"/>
          <w:szCs w:val="22"/>
          <w:lang w:val="de-DE"/>
        </w:rPr>
      </w:pPr>
      <w:r w:rsidRPr="00633D7A">
        <w:rPr>
          <w:rStyle w:val="FootnoteReference"/>
          <w:rFonts w:ascii="Times New Roman" w:hAnsi="Times New Roman"/>
          <w:sz w:val="20"/>
        </w:rPr>
        <w:footnoteRef/>
      </w:r>
      <w:r w:rsidRPr="00633D7A">
        <w:rPr>
          <w:rFonts w:ascii="Times New Roman" w:hAnsi="Times New Roman"/>
          <w:sz w:val="20"/>
        </w:rPr>
        <w:t xml:space="preserve"> </w:t>
      </w:r>
      <w:r>
        <w:rPr>
          <w:rFonts w:ascii="Times New Roman" w:hAnsi="Times New Roman"/>
          <w:sz w:val="20"/>
        </w:rPr>
        <w:tab/>
      </w:r>
      <w:r w:rsidRPr="00633D7A">
        <w:rPr>
          <w:rFonts w:ascii="Times New Roman" w:hAnsi="Times New Roman"/>
          <w:sz w:val="20"/>
        </w:rPr>
        <w:t xml:space="preserve">Directive </w:t>
      </w:r>
      <w:r w:rsidRPr="00633D7A">
        <w:rPr>
          <w:rFonts w:ascii="Times New Roman" w:hAnsi="Times New Roman"/>
          <w:sz w:val="20"/>
          <w:szCs w:val="22"/>
          <w:lang w:val="de-DE"/>
        </w:rPr>
        <w:t xml:space="preserve">relative au </w:t>
      </w:r>
      <w:proofErr w:type="spellStart"/>
      <w:r w:rsidRPr="00633D7A">
        <w:rPr>
          <w:rFonts w:ascii="Times New Roman" w:hAnsi="Times New Roman"/>
          <w:sz w:val="20"/>
          <w:szCs w:val="22"/>
          <w:lang w:val="de-DE"/>
        </w:rPr>
        <w:t>droit</w:t>
      </w:r>
      <w:proofErr w:type="spellEnd"/>
      <w:r w:rsidRPr="00633D7A">
        <w:rPr>
          <w:rFonts w:ascii="Times New Roman" w:hAnsi="Times New Roman"/>
          <w:sz w:val="20"/>
          <w:szCs w:val="22"/>
          <w:lang w:val="de-DE"/>
        </w:rPr>
        <w:t xml:space="preserve"> des </w:t>
      </w:r>
      <w:proofErr w:type="spellStart"/>
      <w:r w:rsidRPr="00633D7A">
        <w:rPr>
          <w:rFonts w:ascii="Times New Roman" w:hAnsi="Times New Roman"/>
          <w:sz w:val="20"/>
          <w:szCs w:val="22"/>
          <w:lang w:val="de-DE"/>
        </w:rPr>
        <w:t>citoyens</w:t>
      </w:r>
      <w:proofErr w:type="spellEnd"/>
      <w:r w:rsidRPr="00633D7A">
        <w:rPr>
          <w:rFonts w:ascii="Times New Roman" w:hAnsi="Times New Roman"/>
          <w:sz w:val="20"/>
          <w:szCs w:val="22"/>
          <w:lang w:val="de-DE"/>
        </w:rPr>
        <w:t xml:space="preserve"> de </w:t>
      </w:r>
      <w:proofErr w:type="spellStart"/>
      <w:r w:rsidRPr="00633D7A">
        <w:rPr>
          <w:rFonts w:ascii="Times New Roman" w:hAnsi="Times New Roman"/>
          <w:sz w:val="20"/>
          <w:szCs w:val="22"/>
          <w:lang w:val="de-DE"/>
        </w:rPr>
        <w:t>l'Union</w:t>
      </w:r>
      <w:proofErr w:type="spellEnd"/>
      <w:r w:rsidRPr="00633D7A">
        <w:rPr>
          <w:rFonts w:ascii="Times New Roman" w:hAnsi="Times New Roman"/>
          <w:sz w:val="20"/>
          <w:szCs w:val="22"/>
          <w:lang w:val="de-DE"/>
        </w:rPr>
        <w:t xml:space="preserve"> et des </w:t>
      </w:r>
      <w:proofErr w:type="spellStart"/>
      <w:r w:rsidRPr="00633D7A">
        <w:rPr>
          <w:rFonts w:ascii="Times New Roman" w:hAnsi="Times New Roman"/>
          <w:sz w:val="20"/>
          <w:szCs w:val="22"/>
          <w:lang w:val="de-DE"/>
        </w:rPr>
        <w:t>membres</w:t>
      </w:r>
      <w:proofErr w:type="spellEnd"/>
      <w:r w:rsidRPr="00633D7A">
        <w:rPr>
          <w:rFonts w:ascii="Times New Roman" w:hAnsi="Times New Roman"/>
          <w:sz w:val="20"/>
          <w:szCs w:val="22"/>
          <w:lang w:val="de-DE"/>
        </w:rPr>
        <w:t xml:space="preserve"> de </w:t>
      </w:r>
      <w:proofErr w:type="spellStart"/>
      <w:r w:rsidRPr="00633D7A">
        <w:rPr>
          <w:rFonts w:ascii="Times New Roman" w:hAnsi="Times New Roman"/>
          <w:sz w:val="20"/>
          <w:szCs w:val="22"/>
          <w:lang w:val="de-DE"/>
        </w:rPr>
        <w:t>leurs</w:t>
      </w:r>
      <w:proofErr w:type="spellEnd"/>
      <w:r w:rsidRPr="00633D7A">
        <w:rPr>
          <w:rFonts w:ascii="Times New Roman" w:hAnsi="Times New Roman"/>
          <w:sz w:val="20"/>
          <w:szCs w:val="22"/>
          <w:lang w:val="de-DE"/>
        </w:rPr>
        <w:t xml:space="preserve"> </w:t>
      </w:r>
      <w:proofErr w:type="spellStart"/>
      <w:r w:rsidRPr="00633D7A">
        <w:rPr>
          <w:rFonts w:ascii="Times New Roman" w:hAnsi="Times New Roman"/>
          <w:sz w:val="20"/>
          <w:szCs w:val="22"/>
          <w:lang w:val="de-DE"/>
        </w:rPr>
        <w:t>familles</w:t>
      </w:r>
      <w:proofErr w:type="spellEnd"/>
      <w:r w:rsidRPr="00633D7A">
        <w:rPr>
          <w:rFonts w:ascii="Times New Roman" w:hAnsi="Times New Roman"/>
          <w:sz w:val="20"/>
          <w:szCs w:val="22"/>
          <w:lang w:val="de-DE"/>
        </w:rPr>
        <w:t xml:space="preserve"> de </w:t>
      </w:r>
      <w:proofErr w:type="spellStart"/>
      <w:r w:rsidRPr="00633D7A">
        <w:rPr>
          <w:rFonts w:ascii="Times New Roman" w:hAnsi="Times New Roman"/>
          <w:sz w:val="20"/>
          <w:szCs w:val="22"/>
          <w:lang w:val="de-DE"/>
        </w:rPr>
        <w:t>circuler</w:t>
      </w:r>
      <w:proofErr w:type="spellEnd"/>
      <w:r w:rsidRPr="00633D7A">
        <w:rPr>
          <w:rFonts w:ascii="Times New Roman" w:hAnsi="Times New Roman"/>
          <w:sz w:val="20"/>
          <w:szCs w:val="22"/>
          <w:lang w:val="de-DE"/>
        </w:rPr>
        <w:t xml:space="preserve"> et de </w:t>
      </w:r>
      <w:proofErr w:type="spellStart"/>
      <w:r w:rsidRPr="00633D7A">
        <w:rPr>
          <w:rFonts w:ascii="Times New Roman" w:hAnsi="Times New Roman"/>
          <w:sz w:val="20"/>
          <w:szCs w:val="22"/>
          <w:lang w:val="de-DE"/>
        </w:rPr>
        <w:t>séjourner</w:t>
      </w:r>
      <w:proofErr w:type="spellEnd"/>
      <w:r w:rsidRPr="00633D7A">
        <w:rPr>
          <w:rFonts w:ascii="Times New Roman" w:hAnsi="Times New Roman"/>
          <w:sz w:val="20"/>
          <w:szCs w:val="22"/>
          <w:lang w:val="de-DE"/>
        </w:rPr>
        <w:t xml:space="preserve"> </w:t>
      </w:r>
      <w:proofErr w:type="spellStart"/>
      <w:r w:rsidRPr="00633D7A">
        <w:rPr>
          <w:rFonts w:ascii="Times New Roman" w:hAnsi="Times New Roman"/>
          <w:sz w:val="20"/>
          <w:szCs w:val="22"/>
          <w:lang w:val="de-DE"/>
        </w:rPr>
        <w:t>librement</w:t>
      </w:r>
      <w:proofErr w:type="spellEnd"/>
      <w:r w:rsidRPr="00633D7A">
        <w:rPr>
          <w:rFonts w:ascii="Times New Roman" w:hAnsi="Times New Roman"/>
          <w:sz w:val="20"/>
          <w:szCs w:val="22"/>
          <w:lang w:val="de-DE"/>
        </w:rPr>
        <w:t xml:space="preserve"> </w:t>
      </w:r>
      <w:proofErr w:type="spellStart"/>
      <w:r w:rsidRPr="00633D7A">
        <w:rPr>
          <w:rFonts w:ascii="Times New Roman" w:hAnsi="Times New Roman"/>
          <w:sz w:val="20"/>
          <w:szCs w:val="22"/>
          <w:lang w:val="de-DE"/>
        </w:rPr>
        <w:t>sur</w:t>
      </w:r>
      <w:proofErr w:type="spellEnd"/>
      <w:r w:rsidRPr="00633D7A">
        <w:rPr>
          <w:rFonts w:ascii="Times New Roman" w:hAnsi="Times New Roman"/>
          <w:sz w:val="20"/>
          <w:szCs w:val="22"/>
          <w:lang w:val="de-DE"/>
        </w:rPr>
        <w:t xml:space="preserve"> le </w:t>
      </w:r>
      <w:proofErr w:type="spellStart"/>
      <w:r w:rsidRPr="00633D7A">
        <w:rPr>
          <w:rFonts w:ascii="Times New Roman" w:hAnsi="Times New Roman"/>
          <w:sz w:val="20"/>
          <w:szCs w:val="22"/>
          <w:lang w:val="de-DE"/>
        </w:rPr>
        <w:t>territoire</w:t>
      </w:r>
      <w:proofErr w:type="spellEnd"/>
      <w:r w:rsidRPr="00633D7A">
        <w:rPr>
          <w:rFonts w:ascii="Times New Roman" w:hAnsi="Times New Roman"/>
          <w:sz w:val="20"/>
          <w:szCs w:val="22"/>
          <w:lang w:val="de-DE"/>
        </w:rPr>
        <w:t xml:space="preserve"> des </w:t>
      </w:r>
      <w:proofErr w:type="spellStart"/>
      <w:r w:rsidRPr="00633D7A">
        <w:rPr>
          <w:rFonts w:ascii="Times New Roman" w:hAnsi="Times New Roman"/>
          <w:sz w:val="20"/>
          <w:szCs w:val="22"/>
          <w:lang w:val="de-DE"/>
        </w:rPr>
        <w:t>États</w:t>
      </w:r>
      <w:proofErr w:type="spellEnd"/>
      <w:r w:rsidRPr="00633D7A">
        <w:rPr>
          <w:rFonts w:ascii="Times New Roman" w:hAnsi="Times New Roman"/>
          <w:sz w:val="20"/>
          <w:szCs w:val="22"/>
          <w:lang w:val="de-DE"/>
        </w:rPr>
        <w:t xml:space="preserve"> </w:t>
      </w:r>
      <w:proofErr w:type="spellStart"/>
      <w:r w:rsidRPr="00633D7A">
        <w:rPr>
          <w:rFonts w:ascii="Times New Roman" w:hAnsi="Times New Roman"/>
          <w:sz w:val="20"/>
          <w:szCs w:val="22"/>
          <w:lang w:val="de-DE"/>
        </w:rPr>
        <w:t>membres</w:t>
      </w:r>
      <w:proofErr w:type="spellEnd"/>
      <w:r w:rsidRPr="00633D7A">
        <w:rPr>
          <w:rFonts w:ascii="Times New Roman" w:hAnsi="Times New Roman"/>
          <w:sz w:val="20"/>
          <w:szCs w:val="22"/>
          <w:lang w:val="de-DE"/>
        </w:rPr>
        <w:t xml:space="preserve">, </w:t>
      </w:r>
      <w:proofErr w:type="spellStart"/>
      <w:r w:rsidRPr="00633D7A">
        <w:rPr>
          <w:rFonts w:ascii="Times New Roman" w:hAnsi="Times New Roman"/>
          <w:sz w:val="20"/>
          <w:szCs w:val="22"/>
          <w:lang w:val="de-DE"/>
        </w:rPr>
        <w:t>modifiant</w:t>
      </w:r>
      <w:proofErr w:type="spellEnd"/>
      <w:r w:rsidRPr="00633D7A">
        <w:rPr>
          <w:rFonts w:ascii="Times New Roman" w:hAnsi="Times New Roman"/>
          <w:sz w:val="20"/>
          <w:szCs w:val="22"/>
          <w:lang w:val="de-DE"/>
        </w:rPr>
        <w:t xml:space="preserve"> le </w:t>
      </w:r>
      <w:proofErr w:type="spellStart"/>
      <w:r w:rsidRPr="00633D7A">
        <w:rPr>
          <w:rFonts w:ascii="Times New Roman" w:hAnsi="Times New Roman"/>
          <w:sz w:val="20"/>
          <w:szCs w:val="22"/>
          <w:lang w:val="de-DE"/>
        </w:rPr>
        <w:t>règlement</w:t>
      </w:r>
      <w:proofErr w:type="spellEnd"/>
      <w:r w:rsidRPr="00633D7A">
        <w:rPr>
          <w:rFonts w:ascii="Times New Roman" w:hAnsi="Times New Roman"/>
          <w:sz w:val="20"/>
          <w:szCs w:val="22"/>
          <w:lang w:val="de-DE"/>
        </w:rPr>
        <w:t xml:space="preserve"> (CEE) n° 1612/68 et </w:t>
      </w:r>
      <w:proofErr w:type="spellStart"/>
      <w:r w:rsidRPr="00633D7A">
        <w:rPr>
          <w:rFonts w:ascii="Times New Roman" w:hAnsi="Times New Roman"/>
          <w:sz w:val="20"/>
          <w:szCs w:val="22"/>
          <w:lang w:val="de-DE"/>
        </w:rPr>
        <w:t>abrogeant</w:t>
      </w:r>
      <w:proofErr w:type="spellEnd"/>
      <w:r w:rsidRPr="00633D7A">
        <w:rPr>
          <w:rFonts w:ascii="Times New Roman" w:hAnsi="Times New Roman"/>
          <w:sz w:val="20"/>
          <w:szCs w:val="22"/>
          <w:lang w:val="de-DE"/>
        </w:rPr>
        <w:t xml:space="preserve"> les </w:t>
      </w:r>
      <w:proofErr w:type="spellStart"/>
      <w:r w:rsidRPr="00633D7A">
        <w:rPr>
          <w:rFonts w:ascii="Times New Roman" w:hAnsi="Times New Roman"/>
          <w:sz w:val="20"/>
          <w:szCs w:val="22"/>
          <w:lang w:val="de-DE"/>
        </w:rPr>
        <w:t>directives</w:t>
      </w:r>
      <w:proofErr w:type="spellEnd"/>
      <w:r w:rsidRPr="00633D7A">
        <w:rPr>
          <w:rFonts w:ascii="Times New Roman" w:hAnsi="Times New Roman"/>
          <w:sz w:val="20"/>
          <w:szCs w:val="22"/>
          <w:lang w:val="de-DE"/>
        </w:rPr>
        <w:t xml:space="preserve"> 64/221/CEE, 68/360/CEE, 72/194/CEE, 73/148/CEE, 75/34/CEE, 75/35/CEE, 90/364/CEE, 90/365/CEE et 93/96/CEE, JOUE L 158 du 30.04.2004, p. 77.</w:t>
      </w:r>
    </w:p>
  </w:footnote>
  <w:footnote w:id="3">
    <w:p w:rsidR="006772FE" w:rsidRDefault="006772FE">
      <w:pPr>
        <w:pStyle w:val="FootnoteText"/>
      </w:pPr>
      <w:r>
        <w:rPr>
          <w:rStyle w:val="FootnoteReference"/>
        </w:rPr>
        <w:footnoteRef/>
      </w:r>
      <w:r>
        <w:t xml:space="preserve"> </w:t>
      </w:r>
      <w:r>
        <w:tab/>
        <w:t>Le chiffre varie naturellement en fonction des critères de recherche, tous les arrêts pertinents ne mentionnent pas la citoyenneté de l’Union au titre de la matière répertoriée.</w:t>
      </w:r>
    </w:p>
  </w:footnote>
  <w:footnote w:id="4">
    <w:p w:rsidR="006772FE" w:rsidRDefault="006772FE">
      <w:pPr>
        <w:pStyle w:val="FootnoteText"/>
      </w:pPr>
      <w:r>
        <w:rPr>
          <w:rStyle w:val="FootnoteReference"/>
        </w:rPr>
        <w:footnoteRef/>
      </w:r>
      <w:r>
        <w:t xml:space="preserve"> (</w:t>
      </w:r>
      <w:proofErr w:type="gramStart"/>
      <w:r>
        <w:t>voir</w:t>
      </w:r>
      <w:proofErr w:type="gramEnd"/>
      <w:r>
        <w:t xml:space="preserve"> arrêt </w:t>
      </w:r>
      <w:proofErr w:type="spellStart"/>
      <w:r>
        <w:t>Ymeraga</w:t>
      </w:r>
      <w:proofErr w:type="spellEnd"/>
      <w:r>
        <w:t xml:space="preserve"> et </w:t>
      </w:r>
      <w:proofErr w:type="spellStart"/>
      <w:r>
        <w:t>Ymeraga-Tafarshiku</w:t>
      </w:r>
      <w:proofErr w:type="spellEnd"/>
      <w:r>
        <w:t xml:space="preserve">, , point 37,  </w:t>
      </w:r>
      <w:proofErr w:type="spellStart"/>
      <w:r>
        <w:t>Alokpa</w:t>
      </w:r>
      <w:proofErr w:type="spellEnd"/>
      <w:r>
        <w:t xml:space="preserve"> point 23</w:t>
      </w:r>
    </w:p>
  </w:footnote>
  <w:footnote w:id="5">
    <w:p w:rsidR="006772FE" w:rsidRPr="00C60021" w:rsidRDefault="006772FE" w:rsidP="00C60021">
      <w:pPr>
        <w:rPr>
          <w:rFonts w:ascii="Times New Roman" w:hAnsi="Times New Roman"/>
          <w:sz w:val="20"/>
          <w:szCs w:val="17"/>
          <w:lang w:val="de-DE"/>
        </w:rPr>
      </w:pPr>
      <w:r w:rsidRPr="009F448A">
        <w:rPr>
          <w:rStyle w:val="FootnoteReference"/>
          <w:rFonts w:ascii="Times New Roman" w:hAnsi="Times New Roman"/>
          <w:sz w:val="20"/>
        </w:rPr>
        <w:footnoteRef/>
      </w:r>
      <w:r w:rsidRPr="009F448A">
        <w:rPr>
          <w:rFonts w:ascii="Times New Roman" w:hAnsi="Times New Roman"/>
          <w:sz w:val="20"/>
        </w:rPr>
        <w:t xml:space="preserve"> </w:t>
      </w:r>
      <w:r w:rsidRPr="009F448A">
        <w:rPr>
          <w:rFonts w:ascii="Times New Roman" w:hAnsi="Times New Roman"/>
          <w:sz w:val="20"/>
          <w:szCs w:val="17"/>
          <w:lang w:val="de-DE"/>
        </w:rPr>
        <w:t>Paolo M</w:t>
      </w:r>
      <w:r w:rsidRPr="009F448A">
        <w:rPr>
          <w:rFonts w:ascii="Times New Roman" w:hAnsi="Times New Roman"/>
          <w:sz w:val="20"/>
          <w:szCs w:val="12"/>
          <w:lang w:val="de-DE"/>
        </w:rPr>
        <w:t>ENGOZZI</w:t>
      </w:r>
      <w:r w:rsidRPr="009F448A">
        <w:rPr>
          <w:rFonts w:ascii="Times New Roman" w:hAnsi="Times New Roman"/>
          <w:sz w:val="20"/>
          <w:szCs w:val="17"/>
          <w:lang w:val="de-DE"/>
        </w:rPr>
        <w:t xml:space="preserve">, </w:t>
      </w:r>
      <w:proofErr w:type="spellStart"/>
      <w:r w:rsidRPr="009F448A">
        <w:rPr>
          <w:rFonts w:ascii="Times New Roman" w:hAnsi="Times New Roman"/>
          <w:sz w:val="20"/>
          <w:szCs w:val="17"/>
          <w:lang w:val="de-DE"/>
        </w:rPr>
        <w:t>Complémentarité</w:t>
      </w:r>
      <w:proofErr w:type="spellEnd"/>
      <w:r w:rsidRPr="009F448A">
        <w:rPr>
          <w:rFonts w:ascii="Times New Roman" w:hAnsi="Times New Roman"/>
          <w:sz w:val="20"/>
          <w:szCs w:val="17"/>
          <w:lang w:val="de-DE"/>
        </w:rPr>
        <w:t xml:space="preserve"> et </w:t>
      </w:r>
      <w:proofErr w:type="spellStart"/>
      <w:r w:rsidRPr="009F448A">
        <w:rPr>
          <w:rFonts w:ascii="Times New Roman" w:hAnsi="Times New Roman"/>
          <w:sz w:val="20"/>
          <w:szCs w:val="17"/>
          <w:lang w:val="de-DE"/>
        </w:rPr>
        <w:t>coopération</w:t>
      </w:r>
      <w:proofErr w:type="spellEnd"/>
      <w:r w:rsidRPr="009F448A">
        <w:rPr>
          <w:rFonts w:ascii="Times New Roman" w:hAnsi="Times New Roman"/>
          <w:sz w:val="20"/>
          <w:szCs w:val="17"/>
          <w:lang w:val="de-DE"/>
        </w:rPr>
        <w:t xml:space="preserve"> entre la Cour de </w:t>
      </w:r>
      <w:proofErr w:type="spellStart"/>
      <w:r w:rsidRPr="009F448A">
        <w:rPr>
          <w:rFonts w:ascii="Times New Roman" w:hAnsi="Times New Roman"/>
          <w:sz w:val="20"/>
          <w:szCs w:val="17"/>
          <w:lang w:val="de-DE"/>
        </w:rPr>
        <w:t>justice</w:t>
      </w:r>
      <w:proofErr w:type="spellEnd"/>
      <w:r w:rsidRPr="009F448A">
        <w:rPr>
          <w:rFonts w:ascii="Times New Roman" w:hAnsi="Times New Roman"/>
          <w:sz w:val="20"/>
          <w:szCs w:val="17"/>
          <w:lang w:val="de-DE"/>
        </w:rPr>
        <w:t xml:space="preserve"> de</w:t>
      </w:r>
      <w:r>
        <w:rPr>
          <w:rFonts w:ascii="Times New Roman" w:hAnsi="Times New Roman"/>
          <w:sz w:val="20"/>
          <w:szCs w:val="17"/>
          <w:lang w:val="de-DE"/>
        </w:rPr>
        <w:t xml:space="preserve"> </w:t>
      </w:r>
      <w:proofErr w:type="spellStart"/>
      <w:r w:rsidRPr="009F448A">
        <w:rPr>
          <w:rFonts w:ascii="Times New Roman" w:hAnsi="Times New Roman"/>
          <w:sz w:val="20"/>
          <w:szCs w:val="17"/>
          <w:lang w:val="de-DE"/>
        </w:rPr>
        <w:t>l’Union</w:t>
      </w:r>
      <w:proofErr w:type="spellEnd"/>
      <w:r w:rsidRPr="009F448A">
        <w:rPr>
          <w:rFonts w:ascii="Times New Roman" w:hAnsi="Times New Roman"/>
          <w:sz w:val="20"/>
          <w:szCs w:val="17"/>
          <w:lang w:val="de-DE"/>
        </w:rPr>
        <w:t xml:space="preserve"> </w:t>
      </w:r>
      <w:proofErr w:type="spellStart"/>
      <w:r w:rsidRPr="009F448A">
        <w:rPr>
          <w:rFonts w:ascii="Times New Roman" w:hAnsi="Times New Roman"/>
          <w:sz w:val="20"/>
          <w:szCs w:val="17"/>
          <w:lang w:val="de-DE"/>
        </w:rPr>
        <w:t>européenne</w:t>
      </w:r>
      <w:proofErr w:type="spellEnd"/>
      <w:r w:rsidRPr="009F448A">
        <w:rPr>
          <w:rFonts w:ascii="Times New Roman" w:hAnsi="Times New Roman"/>
          <w:sz w:val="20"/>
          <w:szCs w:val="17"/>
          <w:lang w:val="de-DE"/>
        </w:rPr>
        <w:t xml:space="preserve"> et les </w:t>
      </w:r>
      <w:proofErr w:type="spellStart"/>
      <w:r w:rsidRPr="009F448A">
        <w:rPr>
          <w:rFonts w:ascii="Times New Roman" w:hAnsi="Times New Roman"/>
          <w:sz w:val="20"/>
          <w:szCs w:val="17"/>
          <w:lang w:val="de-DE"/>
        </w:rPr>
        <w:t>juges</w:t>
      </w:r>
      <w:proofErr w:type="spellEnd"/>
      <w:r w:rsidRPr="009F448A">
        <w:rPr>
          <w:rFonts w:ascii="Times New Roman" w:hAnsi="Times New Roman"/>
          <w:sz w:val="20"/>
          <w:szCs w:val="17"/>
          <w:lang w:val="de-DE"/>
        </w:rPr>
        <w:t xml:space="preserve"> </w:t>
      </w:r>
      <w:proofErr w:type="spellStart"/>
      <w:r w:rsidRPr="009F448A">
        <w:rPr>
          <w:rFonts w:ascii="Times New Roman" w:hAnsi="Times New Roman"/>
          <w:sz w:val="20"/>
          <w:szCs w:val="17"/>
          <w:lang w:val="de-DE"/>
        </w:rPr>
        <w:t>nationaux</w:t>
      </w:r>
      <w:proofErr w:type="spellEnd"/>
      <w:r w:rsidRPr="009F448A">
        <w:rPr>
          <w:rFonts w:ascii="Times New Roman" w:hAnsi="Times New Roman"/>
          <w:sz w:val="20"/>
          <w:szCs w:val="17"/>
          <w:lang w:val="de-DE"/>
        </w:rPr>
        <w:t xml:space="preserve"> en </w:t>
      </w:r>
      <w:proofErr w:type="spellStart"/>
      <w:r w:rsidRPr="009F448A">
        <w:rPr>
          <w:rFonts w:ascii="Times New Roman" w:hAnsi="Times New Roman"/>
          <w:sz w:val="20"/>
          <w:szCs w:val="17"/>
          <w:lang w:val="de-DE"/>
        </w:rPr>
        <w:t>matière</w:t>
      </w:r>
      <w:proofErr w:type="spellEnd"/>
      <w:r w:rsidRPr="009F448A">
        <w:rPr>
          <w:rFonts w:ascii="Times New Roman" w:hAnsi="Times New Roman"/>
          <w:sz w:val="20"/>
          <w:szCs w:val="17"/>
          <w:lang w:val="de-DE"/>
        </w:rPr>
        <w:t xml:space="preserve"> de </w:t>
      </w:r>
      <w:proofErr w:type="spellStart"/>
      <w:r w:rsidRPr="009F448A">
        <w:rPr>
          <w:rFonts w:ascii="Times New Roman" w:hAnsi="Times New Roman"/>
          <w:sz w:val="20"/>
          <w:szCs w:val="17"/>
          <w:lang w:val="de-DE"/>
        </w:rPr>
        <w:t>séjour</w:t>
      </w:r>
      <w:proofErr w:type="spellEnd"/>
      <w:r w:rsidRPr="009F448A">
        <w:rPr>
          <w:rFonts w:ascii="Times New Roman" w:hAnsi="Times New Roman"/>
          <w:sz w:val="20"/>
          <w:szCs w:val="17"/>
          <w:lang w:val="de-DE"/>
        </w:rPr>
        <w:t xml:space="preserve"> </w:t>
      </w:r>
      <w:proofErr w:type="spellStart"/>
      <w:r w:rsidRPr="009F448A">
        <w:rPr>
          <w:rFonts w:ascii="Times New Roman" w:hAnsi="Times New Roman"/>
          <w:sz w:val="20"/>
          <w:szCs w:val="17"/>
          <w:lang w:val="de-DE"/>
        </w:rPr>
        <w:t>dans</w:t>
      </w:r>
      <w:proofErr w:type="spellEnd"/>
      <w:r>
        <w:rPr>
          <w:rFonts w:ascii="Times New Roman" w:hAnsi="Times New Roman"/>
          <w:sz w:val="20"/>
          <w:szCs w:val="17"/>
          <w:lang w:val="de-DE"/>
        </w:rPr>
        <w:t xml:space="preserve"> </w:t>
      </w:r>
      <w:proofErr w:type="spellStart"/>
      <w:r w:rsidRPr="009F448A">
        <w:rPr>
          <w:rFonts w:ascii="Times New Roman" w:hAnsi="Times New Roman"/>
          <w:sz w:val="20"/>
          <w:szCs w:val="17"/>
          <w:lang w:val="de-DE"/>
        </w:rPr>
        <w:t>l’Union</w:t>
      </w:r>
      <w:proofErr w:type="spellEnd"/>
      <w:r w:rsidRPr="009F448A">
        <w:rPr>
          <w:rFonts w:ascii="Times New Roman" w:hAnsi="Times New Roman"/>
          <w:sz w:val="20"/>
          <w:szCs w:val="17"/>
          <w:lang w:val="de-DE"/>
        </w:rPr>
        <w:t xml:space="preserve"> des </w:t>
      </w:r>
      <w:proofErr w:type="spellStart"/>
      <w:r w:rsidRPr="009F448A">
        <w:rPr>
          <w:rFonts w:ascii="Times New Roman" w:hAnsi="Times New Roman"/>
          <w:sz w:val="20"/>
          <w:szCs w:val="17"/>
          <w:lang w:val="de-DE"/>
        </w:rPr>
        <w:t>citoyens</w:t>
      </w:r>
      <w:proofErr w:type="spellEnd"/>
      <w:r w:rsidRPr="009F448A">
        <w:rPr>
          <w:rFonts w:ascii="Times New Roman" w:hAnsi="Times New Roman"/>
          <w:sz w:val="20"/>
          <w:szCs w:val="17"/>
          <w:lang w:val="de-DE"/>
        </w:rPr>
        <w:t xml:space="preserve"> </w:t>
      </w:r>
      <w:proofErr w:type="spellStart"/>
      <w:r w:rsidRPr="009F448A">
        <w:rPr>
          <w:rFonts w:ascii="Times New Roman" w:hAnsi="Times New Roman"/>
          <w:sz w:val="20"/>
          <w:szCs w:val="17"/>
          <w:lang w:val="de-DE"/>
        </w:rPr>
        <w:t>d’États</w:t>
      </w:r>
      <w:proofErr w:type="spellEnd"/>
      <w:r w:rsidRPr="009F448A">
        <w:rPr>
          <w:rFonts w:ascii="Times New Roman" w:hAnsi="Times New Roman"/>
          <w:sz w:val="20"/>
          <w:szCs w:val="17"/>
          <w:lang w:val="de-DE"/>
        </w:rPr>
        <w:t xml:space="preserve"> </w:t>
      </w:r>
      <w:proofErr w:type="spellStart"/>
      <w:r w:rsidRPr="009F448A">
        <w:rPr>
          <w:rFonts w:ascii="Times New Roman" w:hAnsi="Times New Roman"/>
          <w:sz w:val="20"/>
          <w:szCs w:val="17"/>
          <w:lang w:val="de-DE"/>
        </w:rPr>
        <w:t>tiers</w:t>
      </w:r>
      <w:proofErr w:type="spellEnd"/>
      <w:r>
        <w:rPr>
          <w:rFonts w:ascii="Times New Roman" w:hAnsi="Times New Roman"/>
          <w:sz w:val="20"/>
          <w:szCs w:val="17"/>
          <w:lang w:val="de-DE"/>
        </w:rPr>
        <w:t xml:space="preserve">, Il </w:t>
      </w:r>
      <w:proofErr w:type="spellStart"/>
      <w:r>
        <w:rPr>
          <w:rFonts w:ascii="Times New Roman" w:hAnsi="Times New Roman"/>
          <w:sz w:val="20"/>
          <w:szCs w:val="17"/>
          <w:lang w:val="de-DE"/>
        </w:rPr>
        <w:t>Diritto</w:t>
      </w:r>
      <w:proofErr w:type="spellEnd"/>
      <w:r>
        <w:rPr>
          <w:rFonts w:ascii="Times New Roman" w:hAnsi="Times New Roman"/>
          <w:sz w:val="20"/>
          <w:szCs w:val="17"/>
          <w:lang w:val="de-DE"/>
        </w:rPr>
        <w:t xml:space="preserve"> </w:t>
      </w:r>
      <w:proofErr w:type="spellStart"/>
      <w:r>
        <w:rPr>
          <w:rFonts w:ascii="Times New Roman" w:hAnsi="Times New Roman"/>
          <w:sz w:val="20"/>
          <w:szCs w:val="17"/>
          <w:lang w:val="de-DE"/>
        </w:rPr>
        <w:t>dell’Unione</w:t>
      </w:r>
      <w:proofErr w:type="spellEnd"/>
      <w:r>
        <w:rPr>
          <w:rFonts w:ascii="Times New Roman" w:hAnsi="Times New Roman"/>
          <w:sz w:val="20"/>
          <w:szCs w:val="17"/>
          <w:lang w:val="de-DE"/>
        </w:rPr>
        <w:t xml:space="preserve"> </w:t>
      </w:r>
      <w:proofErr w:type="spellStart"/>
      <w:r>
        <w:rPr>
          <w:rFonts w:ascii="Times New Roman" w:hAnsi="Times New Roman"/>
          <w:sz w:val="20"/>
          <w:szCs w:val="17"/>
          <w:lang w:val="de-DE"/>
        </w:rPr>
        <w:t>Europea</w:t>
      </w:r>
      <w:proofErr w:type="spellEnd"/>
      <w:r>
        <w:rPr>
          <w:rFonts w:ascii="Times New Roman" w:hAnsi="Times New Roman"/>
          <w:sz w:val="20"/>
          <w:szCs w:val="17"/>
          <w:lang w:val="de-DE"/>
        </w:rPr>
        <w:t>, 1/2013, p. 29-48.</w:t>
      </w:r>
    </w:p>
  </w:footnote>
  <w:footnote w:id="6">
    <w:p w:rsidR="006772FE" w:rsidRDefault="006772FE">
      <w:pPr>
        <w:pStyle w:val="FootnoteText"/>
      </w:pPr>
      <w:r>
        <w:rPr>
          <w:rStyle w:val="FootnoteReference"/>
        </w:rPr>
        <w:footnoteRef/>
      </w:r>
      <w:r>
        <w:t xml:space="preserve"> </w:t>
      </w:r>
    </w:p>
  </w:footnote>
  <w:footnote w:id="7">
    <w:p w:rsidR="006772FE" w:rsidRDefault="006772FE">
      <w:pPr>
        <w:pStyle w:val="FootnoteText"/>
      </w:pPr>
      <w:r>
        <w:rPr>
          <w:rStyle w:val="FootnoteReference"/>
        </w:rPr>
        <w:footnoteRef/>
      </w:r>
      <w:r>
        <w:t xml:space="preserve"> </w:t>
      </w:r>
      <w:r>
        <w:tab/>
        <w:t xml:space="preserve">Cf. </w:t>
      </w:r>
      <w:r w:rsidRPr="00BA7134">
        <w:t xml:space="preserve">Paul Martens, Président émérite de la Cour constitutionnelle, Professeur émérite aux Universités de Bruxelles, Liège et Paris XII, au colloque </w:t>
      </w:r>
      <w:r>
        <w:t xml:space="preserve">de </w:t>
      </w:r>
      <w:r w:rsidRPr="00BA7134">
        <w:t xml:space="preserve">Louvain </w:t>
      </w:r>
      <w:r>
        <w:t>du 12.11.2013.</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D7580"/>
    <w:multiLevelType w:val="hybridMultilevel"/>
    <w:tmpl w:val="31D4DE36"/>
    <w:lvl w:ilvl="0" w:tplc="A61C02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PETSCHKO">
    <w15:presenceInfo w15:providerId="AD" w15:userId="S-1-5-21-3337309816-2907398862-663535011-282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revisionView w:markup="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379A4"/>
    <w:rsid w:val="00015BE1"/>
    <w:rsid w:val="0004317A"/>
    <w:rsid w:val="00045706"/>
    <w:rsid w:val="000529E1"/>
    <w:rsid w:val="00053807"/>
    <w:rsid w:val="0005528E"/>
    <w:rsid w:val="0006308A"/>
    <w:rsid w:val="0008301F"/>
    <w:rsid w:val="000B3C4C"/>
    <w:rsid w:val="000B4738"/>
    <w:rsid w:val="000B68B1"/>
    <w:rsid w:val="000F274D"/>
    <w:rsid w:val="00105A12"/>
    <w:rsid w:val="00120704"/>
    <w:rsid w:val="00127485"/>
    <w:rsid w:val="001320A3"/>
    <w:rsid w:val="00157B4E"/>
    <w:rsid w:val="00163B8D"/>
    <w:rsid w:val="001875ED"/>
    <w:rsid w:val="00195FCC"/>
    <w:rsid w:val="00197EC2"/>
    <w:rsid w:val="001A7013"/>
    <w:rsid w:val="001C6516"/>
    <w:rsid w:val="001D76B4"/>
    <w:rsid w:val="001E5BC3"/>
    <w:rsid w:val="00210E9D"/>
    <w:rsid w:val="00221BDF"/>
    <w:rsid w:val="00231F79"/>
    <w:rsid w:val="00255CDD"/>
    <w:rsid w:val="00273DD9"/>
    <w:rsid w:val="00280C3B"/>
    <w:rsid w:val="00284428"/>
    <w:rsid w:val="00297168"/>
    <w:rsid w:val="002C6B18"/>
    <w:rsid w:val="002C74AF"/>
    <w:rsid w:val="002D1BCC"/>
    <w:rsid w:val="002D20EB"/>
    <w:rsid w:val="002D4818"/>
    <w:rsid w:val="002E2696"/>
    <w:rsid w:val="00320D12"/>
    <w:rsid w:val="00336529"/>
    <w:rsid w:val="0034182F"/>
    <w:rsid w:val="0036393C"/>
    <w:rsid w:val="00381890"/>
    <w:rsid w:val="003B4140"/>
    <w:rsid w:val="003B4A5F"/>
    <w:rsid w:val="003B611C"/>
    <w:rsid w:val="003D0562"/>
    <w:rsid w:val="003F0CD8"/>
    <w:rsid w:val="00405C87"/>
    <w:rsid w:val="004074FC"/>
    <w:rsid w:val="004323D6"/>
    <w:rsid w:val="00441462"/>
    <w:rsid w:val="00455A22"/>
    <w:rsid w:val="00455EA9"/>
    <w:rsid w:val="00456846"/>
    <w:rsid w:val="004607CB"/>
    <w:rsid w:val="00464F7E"/>
    <w:rsid w:val="004A0CCB"/>
    <w:rsid w:val="004B6524"/>
    <w:rsid w:val="004B7896"/>
    <w:rsid w:val="004C1DC0"/>
    <w:rsid w:val="004C7C34"/>
    <w:rsid w:val="004D6C08"/>
    <w:rsid w:val="004D7E05"/>
    <w:rsid w:val="004E4ED4"/>
    <w:rsid w:val="004F37B7"/>
    <w:rsid w:val="004F48DC"/>
    <w:rsid w:val="00525837"/>
    <w:rsid w:val="00532ABB"/>
    <w:rsid w:val="00533A28"/>
    <w:rsid w:val="005511F1"/>
    <w:rsid w:val="00561463"/>
    <w:rsid w:val="00566651"/>
    <w:rsid w:val="00582755"/>
    <w:rsid w:val="0058330F"/>
    <w:rsid w:val="00597DA6"/>
    <w:rsid w:val="005A3FC8"/>
    <w:rsid w:val="005A52A1"/>
    <w:rsid w:val="005E6343"/>
    <w:rsid w:val="005F614E"/>
    <w:rsid w:val="0060222E"/>
    <w:rsid w:val="00615726"/>
    <w:rsid w:val="006271C8"/>
    <w:rsid w:val="00627614"/>
    <w:rsid w:val="00633D7A"/>
    <w:rsid w:val="00640B5E"/>
    <w:rsid w:val="00657BA9"/>
    <w:rsid w:val="006741ED"/>
    <w:rsid w:val="006766F3"/>
    <w:rsid w:val="006772FE"/>
    <w:rsid w:val="00685651"/>
    <w:rsid w:val="006A43A8"/>
    <w:rsid w:val="006D10C3"/>
    <w:rsid w:val="006F4345"/>
    <w:rsid w:val="0071270A"/>
    <w:rsid w:val="00731F7E"/>
    <w:rsid w:val="007359D9"/>
    <w:rsid w:val="00735D6C"/>
    <w:rsid w:val="00745FDB"/>
    <w:rsid w:val="0075219B"/>
    <w:rsid w:val="007530BA"/>
    <w:rsid w:val="00753C2A"/>
    <w:rsid w:val="00754056"/>
    <w:rsid w:val="007638FC"/>
    <w:rsid w:val="007714E7"/>
    <w:rsid w:val="00787B09"/>
    <w:rsid w:val="007A2605"/>
    <w:rsid w:val="007C150A"/>
    <w:rsid w:val="007C7F0D"/>
    <w:rsid w:val="007D1756"/>
    <w:rsid w:val="007D601E"/>
    <w:rsid w:val="00810873"/>
    <w:rsid w:val="008379A4"/>
    <w:rsid w:val="00840C50"/>
    <w:rsid w:val="008426EE"/>
    <w:rsid w:val="00873D12"/>
    <w:rsid w:val="008743F1"/>
    <w:rsid w:val="008A6642"/>
    <w:rsid w:val="008B3C6A"/>
    <w:rsid w:val="008E069E"/>
    <w:rsid w:val="008E4FD0"/>
    <w:rsid w:val="008E5269"/>
    <w:rsid w:val="008F69F8"/>
    <w:rsid w:val="0090559A"/>
    <w:rsid w:val="0092156C"/>
    <w:rsid w:val="00940B53"/>
    <w:rsid w:val="00954CE1"/>
    <w:rsid w:val="00975FBC"/>
    <w:rsid w:val="00982981"/>
    <w:rsid w:val="00991415"/>
    <w:rsid w:val="009D06FD"/>
    <w:rsid w:val="009E0E6D"/>
    <w:rsid w:val="009E79DE"/>
    <w:rsid w:val="009F448A"/>
    <w:rsid w:val="009F78E3"/>
    <w:rsid w:val="00A06B7D"/>
    <w:rsid w:val="00A11336"/>
    <w:rsid w:val="00A13345"/>
    <w:rsid w:val="00A35B52"/>
    <w:rsid w:val="00A42965"/>
    <w:rsid w:val="00A42D9D"/>
    <w:rsid w:val="00A5218F"/>
    <w:rsid w:val="00A635A8"/>
    <w:rsid w:val="00A7272B"/>
    <w:rsid w:val="00A779A7"/>
    <w:rsid w:val="00AA37B7"/>
    <w:rsid w:val="00AC514B"/>
    <w:rsid w:val="00AF34C9"/>
    <w:rsid w:val="00AF75E3"/>
    <w:rsid w:val="00B12C11"/>
    <w:rsid w:val="00B21F31"/>
    <w:rsid w:val="00B31356"/>
    <w:rsid w:val="00B372FB"/>
    <w:rsid w:val="00B53CF5"/>
    <w:rsid w:val="00B74876"/>
    <w:rsid w:val="00B82745"/>
    <w:rsid w:val="00BA7134"/>
    <w:rsid w:val="00BC2F35"/>
    <w:rsid w:val="00BE300C"/>
    <w:rsid w:val="00BF1BAA"/>
    <w:rsid w:val="00BF7EB9"/>
    <w:rsid w:val="00C04AE0"/>
    <w:rsid w:val="00C05922"/>
    <w:rsid w:val="00C05E15"/>
    <w:rsid w:val="00C12DCD"/>
    <w:rsid w:val="00C13441"/>
    <w:rsid w:val="00C1509D"/>
    <w:rsid w:val="00C220D1"/>
    <w:rsid w:val="00C31EAE"/>
    <w:rsid w:val="00C41E01"/>
    <w:rsid w:val="00C46462"/>
    <w:rsid w:val="00C47689"/>
    <w:rsid w:val="00C60021"/>
    <w:rsid w:val="00C75E98"/>
    <w:rsid w:val="00CA155E"/>
    <w:rsid w:val="00CA168F"/>
    <w:rsid w:val="00CA6B12"/>
    <w:rsid w:val="00CC0AEA"/>
    <w:rsid w:val="00CC1318"/>
    <w:rsid w:val="00CC5B53"/>
    <w:rsid w:val="00CF27E4"/>
    <w:rsid w:val="00D23E9E"/>
    <w:rsid w:val="00D26482"/>
    <w:rsid w:val="00D30C06"/>
    <w:rsid w:val="00D41372"/>
    <w:rsid w:val="00D5792C"/>
    <w:rsid w:val="00D64072"/>
    <w:rsid w:val="00D65B46"/>
    <w:rsid w:val="00D664A4"/>
    <w:rsid w:val="00D8117F"/>
    <w:rsid w:val="00D92C7D"/>
    <w:rsid w:val="00D95C33"/>
    <w:rsid w:val="00DB6A2F"/>
    <w:rsid w:val="00DD3CE8"/>
    <w:rsid w:val="00DE56B5"/>
    <w:rsid w:val="00DE5AD7"/>
    <w:rsid w:val="00E015B7"/>
    <w:rsid w:val="00E044EC"/>
    <w:rsid w:val="00E24E60"/>
    <w:rsid w:val="00E5501A"/>
    <w:rsid w:val="00E66190"/>
    <w:rsid w:val="00E76C22"/>
    <w:rsid w:val="00E7792C"/>
    <w:rsid w:val="00E90B84"/>
    <w:rsid w:val="00EB5B2B"/>
    <w:rsid w:val="00ED3997"/>
    <w:rsid w:val="00EE4AC1"/>
    <w:rsid w:val="00EE6B6E"/>
    <w:rsid w:val="00EF34A1"/>
    <w:rsid w:val="00EF47EC"/>
    <w:rsid w:val="00F02C67"/>
    <w:rsid w:val="00F1457C"/>
    <w:rsid w:val="00F333A6"/>
    <w:rsid w:val="00F56E7F"/>
    <w:rsid w:val="00F666C7"/>
    <w:rsid w:val="00F90545"/>
    <w:rsid w:val="00FD2770"/>
  </w:rsids>
  <m:mathPr>
    <m:mathFont m:val="Segoe UI"/>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53302"/>
  </w:style>
  <w:style w:type="paragraph" w:styleId="Heading1">
    <w:name w:val="heading 1"/>
    <w:basedOn w:val="Normal"/>
    <w:next w:val="Normal"/>
    <w:link w:val="Heading1Char"/>
    <w:uiPriority w:val="9"/>
    <w:qFormat/>
    <w:rsid w:val="00BC2F3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540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40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autoRedefine/>
    <w:rsid w:val="003E1670"/>
    <w:pPr>
      <w:tabs>
        <w:tab w:val="left" w:pos="284"/>
      </w:tabs>
      <w:spacing w:after="80" w:line="264" w:lineRule="auto"/>
      <w:ind w:left="284" w:hanging="284"/>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E1670"/>
    <w:rPr>
      <w:rFonts w:ascii="Times New Roman" w:eastAsia="Times New Roman" w:hAnsi="Times New Roman" w:cs="Times New Roman"/>
      <w:sz w:val="20"/>
      <w:szCs w:val="20"/>
      <w:lang w:val="fr-FR"/>
    </w:rPr>
  </w:style>
  <w:style w:type="character" w:customStyle="1" w:styleId="FootnoteTextChar1">
    <w:name w:val="Footnote Text Char1"/>
    <w:basedOn w:val="DefaultParagraphFont"/>
    <w:locked/>
    <w:rsid w:val="003E1670"/>
    <w:rPr>
      <w:rFonts w:ascii="Times New Roman" w:eastAsia="Times New Roman" w:hAnsi="Times New Roman"/>
      <w:lang w:val="fr-FR"/>
    </w:rPr>
  </w:style>
  <w:style w:type="paragraph" w:customStyle="1" w:styleId="c36centre">
    <w:name w:val="c36centre"/>
    <w:basedOn w:val="Normal"/>
    <w:rsid w:val="008379A4"/>
    <w:pPr>
      <w:spacing w:beforeLines="1" w:afterLines="1"/>
    </w:pPr>
    <w:rPr>
      <w:rFonts w:ascii="Times" w:hAnsi="Times"/>
      <w:sz w:val="20"/>
      <w:szCs w:val="20"/>
      <w:lang w:val="de-DE"/>
    </w:rPr>
  </w:style>
  <w:style w:type="character" w:styleId="Hyperlink">
    <w:name w:val="Hyperlink"/>
    <w:basedOn w:val="DefaultParagraphFont"/>
    <w:uiPriority w:val="99"/>
    <w:rsid w:val="008379A4"/>
    <w:rPr>
      <w:color w:val="0000FF"/>
      <w:u w:val="single"/>
    </w:rPr>
  </w:style>
  <w:style w:type="paragraph" w:customStyle="1" w:styleId="c38centregrasgrandespacement">
    <w:name w:val="c38centregrasgrandespacement"/>
    <w:basedOn w:val="Normal"/>
    <w:rsid w:val="008379A4"/>
    <w:pPr>
      <w:spacing w:beforeLines="1" w:afterLines="1"/>
    </w:pPr>
    <w:rPr>
      <w:rFonts w:ascii="Times" w:hAnsi="Times"/>
      <w:sz w:val="20"/>
      <w:szCs w:val="20"/>
      <w:lang w:val="de-DE"/>
    </w:rPr>
  </w:style>
  <w:style w:type="paragraph" w:customStyle="1" w:styleId="c37centregras">
    <w:name w:val="c37centregras"/>
    <w:basedOn w:val="Normal"/>
    <w:rsid w:val="008379A4"/>
    <w:pPr>
      <w:spacing w:beforeLines="1" w:afterLines="1"/>
    </w:pPr>
    <w:rPr>
      <w:rFonts w:ascii="Times" w:hAnsi="Times"/>
      <w:sz w:val="20"/>
      <w:szCs w:val="20"/>
      <w:lang w:val="de-DE"/>
    </w:rPr>
  </w:style>
  <w:style w:type="paragraph" w:customStyle="1" w:styleId="c01pointaltn">
    <w:name w:val="c01pointaltn"/>
    <w:basedOn w:val="Normal"/>
    <w:rsid w:val="008379A4"/>
    <w:pPr>
      <w:spacing w:beforeLines="1" w:afterLines="1"/>
    </w:pPr>
    <w:rPr>
      <w:rFonts w:ascii="Times" w:hAnsi="Times"/>
      <w:sz w:val="20"/>
      <w:szCs w:val="20"/>
      <w:lang w:val="de-DE"/>
    </w:rPr>
  </w:style>
  <w:style w:type="paragraph" w:customStyle="1" w:styleId="c19centre">
    <w:name w:val="c19centre"/>
    <w:basedOn w:val="Normal"/>
    <w:rsid w:val="008379A4"/>
    <w:pPr>
      <w:spacing w:beforeLines="1" w:afterLines="1"/>
    </w:pPr>
    <w:rPr>
      <w:rFonts w:ascii="Times" w:hAnsi="Times"/>
      <w:sz w:val="20"/>
      <w:szCs w:val="20"/>
      <w:lang w:val="de-DE"/>
    </w:rPr>
  </w:style>
  <w:style w:type="character" w:customStyle="1" w:styleId="Heading1Char">
    <w:name w:val="Heading 1 Char"/>
    <w:basedOn w:val="DefaultParagraphFont"/>
    <w:link w:val="Heading1"/>
    <w:uiPriority w:val="9"/>
    <w:rsid w:val="00BC2F3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754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4056"/>
    <w:rPr>
      <w:rFonts w:asciiTheme="majorHAnsi" w:eastAsiaTheme="majorEastAsia" w:hAnsiTheme="majorHAnsi" w:cstheme="majorBidi"/>
      <w:b/>
      <w:bCs/>
      <w:color w:val="4F81BD" w:themeColor="accent1"/>
    </w:rPr>
  </w:style>
  <w:style w:type="paragraph" w:customStyle="1" w:styleId="c01pointnumerotealtn">
    <w:name w:val="c01pointnumerotealtn"/>
    <w:basedOn w:val="Normal"/>
    <w:rsid w:val="000529E1"/>
    <w:pPr>
      <w:spacing w:beforeLines="1" w:afterLines="1"/>
    </w:pPr>
    <w:rPr>
      <w:rFonts w:ascii="Times" w:hAnsi="Times"/>
      <w:sz w:val="20"/>
      <w:szCs w:val="20"/>
      <w:lang w:val="de-DE"/>
    </w:rPr>
  </w:style>
  <w:style w:type="paragraph" w:customStyle="1" w:styleId="c02alineaalta">
    <w:name w:val="c02alineaalta"/>
    <w:basedOn w:val="Normal"/>
    <w:rsid w:val="000529E1"/>
    <w:pPr>
      <w:spacing w:beforeLines="1" w:afterLines="1"/>
    </w:pPr>
    <w:rPr>
      <w:rFonts w:ascii="Times" w:hAnsi="Times"/>
      <w:sz w:val="20"/>
      <w:szCs w:val="20"/>
      <w:lang w:val="de-DE"/>
    </w:rPr>
  </w:style>
  <w:style w:type="character" w:customStyle="1" w:styleId="Heading4Char">
    <w:name w:val="Heading 4 Char"/>
    <w:basedOn w:val="DefaultParagraphFont"/>
    <w:link w:val="Heading4"/>
    <w:uiPriority w:val="9"/>
    <w:semiHidden/>
    <w:rsid w:val="00015BE1"/>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uiPriority w:val="99"/>
    <w:semiHidden/>
    <w:unhideWhenUsed/>
    <w:rsid w:val="007D601E"/>
    <w:rPr>
      <w:vertAlign w:val="superscript"/>
    </w:rPr>
  </w:style>
  <w:style w:type="paragraph" w:styleId="Footer">
    <w:name w:val="footer"/>
    <w:basedOn w:val="Normal"/>
    <w:link w:val="FooterChar"/>
    <w:uiPriority w:val="99"/>
    <w:semiHidden/>
    <w:unhideWhenUsed/>
    <w:rsid w:val="00255CDD"/>
    <w:pPr>
      <w:tabs>
        <w:tab w:val="center" w:pos="4320"/>
        <w:tab w:val="right" w:pos="8640"/>
      </w:tabs>
    </w:pPr>
  </w:style>
  <w:style w:type="character" w:customStyle="1" w:styleId="FooterChar">
    <w:name w:val="Footer Char"/>
    <w:basedOn w:val="DefaultParagraphFont"/>
    <w:link w:val="Footer"/>
    <w:uiPriority w:val="99"/>
    <w:semiHidden/>
    <w:rsid w:val="00255CDD"/>
  </w:style>
  <w:style w:type="character" w:styleId="PageNumber">
    <w:name w:val="page number"/>
    <w:basedOn w:val="DefaultParagraphFont"/>
    <w:uiPriority w:val="99"/>
    <w:semiHidden/>
    <w:unhideWhenUsed/>
    <w:rsid w:val="00255CDD"/>
  </w:style>
  <w:style w:type="paragraph" w:styleId="ListParagraph">
    <w:name w:val="List Paragraph"/>
    <w:basedOn w:val="Normal"/>
    <w:uiPriority w:val="34"/>
    <w:qFormat/>
    <w:rsid w:val="005E6343"/>
    <w:pPr>
      <w:ind w:left="720"/>
      <w:contextualSpacing/>
    </w:pPr>
  </w:style>
  <w:style w:type="paragraph" w:styleId="BalloonText">
    <w:name w:val="Balloon Text"/>
    <w:basedOn w:val="Normal"/>
    <w:link w:val="BalloonTextChar"/>
    <w:uiPriority w:val="99"/>
    <w:semiHidden/>
    <w:unhideWhenUsed/>
    <w:rsid w:val="00873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12"/>
    <w:rPr>
      <w:rFonts w:ascii="Segoe UI" w:hAnsi="Segoe UI" w:cs="Segoe UI"/>
      <w:sz w:val="18"/>
      <w:szCs w:val="18"/>
    </w:rPr>
  </w:style>
  <w:style w:type="character" w:styleId="CommentReference">
    <w:name w:val="annotation reference"/>
    <w:basedOn w:val="DefaultParagraphFont"/>
    <w:uiPriority w:val="99"/>
    <w:semiHidden/>
    <w:unhideWhenUsed/>
    <w:rsid w:val="00CA6B12"/>
    <w:rPr>
      <w:sz w:val="16"/>
      <w:szCs w:val="16"/>
    </w:rPr>
  </w:style>
  <w:style w:type="paragraph" w:styleId="CommentText">
    <w:name w:val="annotation text"/>
    <w:basedOn w:val="Normal"/>
    <w:link w:val="CommentTextChar"/>
    <w:uiPriority w:val="99"/>
    <w:semiHidden/>
    <w:unhideWhenUsed/>
    <w:rsid w:val="00CA6B12"/>
    <w:rPr>
      <w:sz w:val="20"/>
      <w:szCs w:val="20"/>
    </w:rPr>
  </w:style>
  <w:style w:type="character" w:customStyle="1" w:styleId="CommentTextChar">
    <w:name w:val="Comment Text Char"/>
    <w:basedOn w:val="DefaultParagraphFont"/>
    <w:link w:val="CommentText"/>
    <w:uiPriority w:val="99"/>
    <w:semiHidden/>
    <w:rsid w:val="00CA6B12"/>
    <w:rPr>
      <w:sz w:val="20"/>
      <w:szCs w:val="20"/>
    </w:rPr>
  </w:style>
  <w:style w:type="paragraph" w:styleId="CommentSubject">
    <w:name w:val="annotation subject"/>
    <w:basedOn w:val="CommentText"/>
    <w:next w:val="CommentText"/>
    <w:link w:val="CommentSubjectChar"/>
    <w:uiPriority w:val="99"/>
    <w:semiHidden/>
    <w:unhideWhenUsed/>
    <w:rsid w:val="00CA6B12"/>
    <w:rPr>
      <w:b/>
      <w:bCs/>
    </w:rPr>
  </w:style>
  <w:style w:type="character" w:customStyle="1" w:styleId="CommentSubjectChar">
    <w:name w:val="Comment Subject Char"/>
    <w:basedOn w:val="CommentTextChar"/>
    <w:link w:val="CommentSubject"/>
    <w:uiPriority w:val="99"/>
    <w:semiHidden/>
    <w:rsid w:val="00CA6B12"/>
    <w:rPr>
      <w:b/>
      <w:bCs/>
      <w:sz w:val="20"/>
      <w:szCs w:val="20"/>
    </w:rPr>
  </w:style>
  <w:style w:type="paragraph" w:styleId="NormalWeb">
    <w:name w:val="Normal (Web)"/>
    <w:basedOn w:val="Normal"/>
    <w:uiPriority w:val="99"/>
    <w:semiHidden/>
    <w:unhideWhenUsed/>
    <w:rsid w:val="00A635A8"/>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4990291">
      <w:bodyDiv w:val="1"/>
      <w:marLeft w:val="0"/>
      <w:marRight w:val="0"/>
      <w:marTop w:val="0"/>
      <w:marBottom w:val="0"/>
      <w:divBdr>
        <w:top w:val="none" w:sz="0" w:space="0" w:color="auto"/>
        <w:left w:val="none" w:sz="0" w:space="0" w:color="auto"/>
        <w:bottom w:val="none" w:sz="0" w:space="0" w:color="auto"/>
        <w:right w:val="none" w:sz="0" w:space="0" w:color="auto"/>
      </w:divBdr>
    </w:div>
    <w:div w:id="49426888">
      <w:bodyDiv w:val="1"/>
      <w:marLeft w:val="0"/>
      <w:marRight w:val="0"/>
      <w:marTop w:val="0"/>
      <w:marBottom w:val="0"/>
      <w:divBdr>
        <w:top w:val="none" w:sz="0" w:space="0" w:color="auto"/>
        <w:left w:val="none" w:sz="0" w:space="0" w:color="auto"/>
        <w:bottom w:val="none" w:sz="0" w:space="0" w:color="auto"/>
        <w:right w:val="none" w:sz="0" w:space="0" w:color="auto"/>
      </w:divBdr>
      <w:divsChild>
        <w:div w:id="1080831401">
          <w:marLeft w:val="0"/>
          <w:marRight w:val="0"/>
          <w:marTop w:val="0"/>
          <w:marBottom w:val="0"/>
          <w:divBdr>
            <w:top w:val="none" w:sz="0" w:space="0" w:color="auto"/>
            <w:left w:val="none" w:sz="0" w:space="0" w:color="auto"/>
            <w:bottom w:val="none" w:sz="0" w:space="0" w:color="auto"/>
            <w:right w:val="none" w:sz="0" w:space="0" w:color="auto"/>
          </w:divBdr>
        </w:div>
        <w:div w:id="1299535175">
          <w:marLeft w:val="0"/>
          <w:marRight w:val="0"/>
          <w:marTop w:val="0"/>
          <w:marBottom w:val="0"/>
          <w:divBdr>
            <w:top w:val="none" w:sz="0" w:space="0" w:color="auto"/>
            <w:left w:val="none" w:sz="0" w:space="0" w:color="auto"/>
            <w:bottom w:val="none" w:sz="0" w:space="0" w:color="auto"/>
            <w:right w:val="none" w:sz="0" w:space="0" w:color="auto"/>
          </w:divBdr>
        </w:div>
        <w:div w:id="617297438">
          <w:marLeft w:val="0"/>
          <w:marRight w:val="0"/>
          <w:marTop w:val="0"/>
          <w:marBottom w:val="0"/>
          <w:divBdr>
            <w:top w:val="none" w:sz="0" w:space="0" w:color="auto"/>
            <w:left w:val="none" w:sz="0" w:space="0" w:color="auto"/>
            <w:bottom w:val="none" w:sz="0" w:space="0" w:color="auto"/>
            <w:right w:val="none" w:sz="0" w:space="0" w:color="auto"/>
          </w:divBdr>
        </w:div>
        <w:div w:id="727995828">
          <w:marLeft w:val="0"/>
          <w:marRight w:val="0"/>
          <w:marTop w:val="0"/>
          <w:marBottom w:val="0"/>
          <w:divBdr>
            <w:top w:val="none" w:sz="0" w:space="0" w:color="auto"/>
            <w:left w:val="none" w:sz="0" w:space="0" w:color="auto"/>
            <w:bottom w:val="none" w:sz="0" w:space="0" w:color="auto"/>
            <w:right w:val="none" w:sz="0" w:space="0" w:color="auto"/>
          </w:divBdr>
        </w:div>
        <w:div w:id="2069067586">
          <w:marLeft w:val="0"/>
          <w:marRight w:val="0"/>
          <w:marTop w:val="0"/>
          <w:marBottom w:val="0"/>
          <w:divBdr>
            <w:top w:val="none" w:sz="0" w:space="0" w:color="auto"/>
            <w:left w:val="none" w:sz="0" w:space="0" w:color="auto"/>
            <w:bottom w:val="none" w:sz="0" w:space="0" w:color="auto"/>
            <w:right w:val="none" w:sz="0" w:space="0" w:color="auto"/>
          </w:divBdr>
        </w:div>
        <w:div w:id="1064910625">
          <w:marLeft w:val="0"/>
          <w:marRight w:val="0"/>
          <w:marTop w:val="0"/>
          <w:marBottom w:val="0"/>
          <w:divBdr>
            <w:top w:val="none" w:sz="0" w:space="0" w:color="auto"/>
            <w:left w:val="none" w:sz="0" w:space="0" w:color="auto"/>
            <w:bottom w:val="none" w:sz="0" w:space="0" w:color="auto"/>
            <w:right w:val="none" w:sz="0" w:space="0" w:color="auto"/>
          </w:divBdr>
        </w:div>
        <w:div w:id="6061159">
          <w:marLeft w:val="0"/>
          <w:marRight w:val="0"/>
          <w:marTop w:val="0"/>
          <w:marBottom w:val="0"/>
          <w:divBdr>
            <w:top w:val="none" w:sz="0" w:space="0" w:color="auto"/>
            <w:left w:val="none" w:sz="0" w:space="0" w:color="auto"/>
            <w:bottom w:val="none" w:sz="0" w:space="0" w:color="auto"/>
            <w:right w:val="none" w:sz="0" w:space="0" w:color="auto"/>
          </w:divBdr>
        </w:div>
        <w:div w:id="829247236">
          <w:marLeft w:val="0"/>
          <w:marRight w:val="0"/>
          <w:marTop w:val="0"/>
          <w:marBottom w:val="0"/>
          <w:divBdr>
            <w:top w:val="none" w:sz="0" w:space="0" w:color="auto"/>
            <w:left w:val="none" w:sz="0" w:space="0" w:color="auto"/>
            <w:bottom w:val="none" w:sz="0" w:space="0" w:color="auto"/>
            <w:right w:val="none" w:sz="0" w:space="0" w:color="auto"/>
          </w:divBdr>
        </w:div>
        <w:div w:id="1684357332">
          <w:marLeft w:val="0"/>
          <w:marRight w:val="0"/>
          <w:marTop w:val="0"/>
          <w:marBottom w:val="0"/>
          <w:divBdr>
            <w:top w:val="none" w:sz="0" w:space="0" w:color="auto"/>
            <w:left w:val="none" w:sz="0" w:space="0" w:color="auto"/>
            <w:bottom w:val="none" w:sz="0" w:space="0" w:color="auto"/>
            <w:right w:val="none" w:sz="0" w:space="0" w:color="auto"/>
          </w:divBdr>
        </w:div>
        <w:div w:id="706373986">
          <w:marLeft w:val="0"/>
          <w:marRight w:val="0"/>
          <w:marTop w:val="0"/>
          <w:marBottom w:val="0"/>
          <w:divBdr>
            <w:top w:val="none" w:sz="0" w:space="0" w:color="auto"/>
            <w:left w:val="none" w:sz="0" w:space="0" w:color="auto"/>
            <w:bottom w:val="none" w:sz="0" w:space="0" w:color="auto"/>
            <w:right w:val="none" w:sz="0" w:space="0" w:color="auto"/>
          </w:divBdr>
        </w:div>
        <w:div w:id="2134667448">
          <w:marLeft w:val="0"/>
          <w:marRight w:val="0"/>
          <w:marTop w:val="0"/>
          <w:marBottom w:val="0"/>
          <w:divBdr>
            <w:top w:val="none" w:sz="0" w:space="0" w:color="auto"/>
            <w:left w:val="none" w:sz="0" w:space="0" w:color="auto"/>
            <w:bottom w:val="none" w:sz="0" w:space="0" w:color="auto"/>
            <w:right w:val="none" w:sz="0" w:space="0" w:color="auto"/>
          </w:divBdr>
        </w:div>
        <w:div w:id="1970241502">
          <w:marLeft w:val="0"/>
          <w:marRight w:val="0"/>
          <w:marTop w:val="0"/>
          <w:marBottom w:val="0"/>
          <w:divBdr>
            <w:top w:val="none" w:sz="0" w:space="0" w:color="auto"/>
            <w:left w:val="none" w:sz="0" w:space="0" w:color="auto"/>
            <w:bottom w:val="none" w:sz="0" w:space="0" w:color="auto"/>
            <w:right w:val="none" w:sz="0" w:space="0" w:color="auto"/>
          </w:divBdr>
        </w:div>
        <w:div w:id="572201544">
          <w:marLeft w:val="0"/>
          <w:marRight w:val="0"/>
          <w:marTop w:val="0"/>
          <w:marBottom w:val="0"/>
          <w:divBdr>
            <w:top w:val="none" w:sz="0" w:space="0" w:color="auto"/>
            <w:left w:val="none" w:sz="0" w:space="0" w:color="auto"/>
            <w:bottom w:val="none" w:sz="0" w:space="0" w:color="auto"/>
            <w:right w:val="none" w:sz="0" w:space="0" w:color="auto"/>
          </w:divBdr>
        </w:div>
        <w:div w:id="1120108041">
          <w:marLeft w:val="0"/>
          <w:marRight w:val="0"/>
          <w:marTop w:val="0"/>
          <w:marBottom w:val="0"/>
          <w:divBdr>
            <w:top w:val="none" w:sz="0" w:space="0" w:color="auto"/>
            <w:left w:val="none" w:sz="0" w:space="0" w:color="auto"/>
            <w:bottom w:val="none" w:sz="0" w:space="0" w:color="auto"/>
            <w:right w:val="none" w:sz="0" w:space="0" w:color="auto"/>
          </w:divBdr>
        </w:div>
        <w:div w:id="1255941125">
          <w:marLeft w:val="0"/>
          <w:marRight w:val="0"/>
          <w:marTop w:val="0"/>
          <w:marBottom w:val="0"/>
          <w:divBdr>
            <w:top w:val="none" w:sz="0" w:space="0" w:color="auto"/>
            <w:left w:val="none" w:sz="0" w:space="0" w:color="auto"/>
            <w:bottom w:val="none" w:sz="0" w:space="0" w:color="auto"/>
            <w:right w:val="none" w:sz="0" w:space="0" w:color="auto"/>
          </w:divBdr>
        </w:div>
        <w:div w:id="1542747942">
          <w:marLeft w:val="0"/>
          <w:marRight w:val="0"/>
          <w:marTop w:val="0"/>
          <w:marBottom w:val="0"/>
          <w:divBdr>
            <w:top w:val="none" w:sz="0" w:space="0" w:color="auto"/>
            <w:left w:val="none" w:sz="0" w:space="0" w:color="auto"/>
            <w:bottom w:val="none" w:sz="0" w:space="0" w:color="auto"/>
            <w:right w:val="none" w:sz="0" w:space="0" w:color="auto"/>
          </w:divBdr>
        </w:div>
        <w:div w:id="638341923">
          <w:marLeft w:val="0"/>
          <w:marRight w:val="0"/>
          <w:marTop w:val="0"/>
          <w:marBottom w:val="0"/>
          <w:divBdr>
            <w:top w:val="none" w:sz="0" w:space="0" w:color="auto"/>
            <w:left w:val="none" w:sz="0" w:space="0" w:color="auto"/>
            <w:bottom w:val="none" w:sz="0" w:space="0" w:color="auto"/>
            <w:right w:val="none" w:sz="0" w:space="0" w:color="auto"/>
          </w:divBdr>
        </w:div>
        <w:div w:id="291251779">
          <w:marLeft w:val="0"/>
          <w:marRight w:val="0"/>
          <w:marTop w:val="0"/>
          <w:marBottom w:val="0"/>
          <w:divBdr>
            <w:top w:val="none" w:sz="0" w:space="0" w:color="auto"/>
            <w:left w:val="none" w:sz="0" w:space="0" w:color="auto"/>
            <w:bottom w:val="none" w:sz="0" w:space="0" w:color="auto"/>
            <w:right w:val="none" w:sz="0" w:space="0" w:color="auto"/>
          </w:divBdr>
        </w:div>
        <w:div w:id="1790706454">
          <w:marLeft w:val="0"/>
          <w:marRight w:val="0"/>
          <w:marTop w:val="0"/>
          <w:marBottom w:val="0"/>
          <w:divBdr>
            <w:top w:val="none" w:sz="0" w:space="0" w:color="auto"/>
            <w:left w:val="none" w:sz="0" w:space="0" w:color="auto"/>
            <w:bottom w:val="none" w:sz="0" w:space="0" w:color="auto"/>
            <w:right w:val="none" w:sz="0" w:space="0" w:color="auto"/>
          </w:divBdr>
        </w:div>
        <w:div w:id="1918857123">
          <w:marLeft w:val="0"/>
          <w:marRight w:val="0"/>
          <w:marTop w:val="0"/>
          <w:marBottom w:val="0"/>
          <w:divBdr>
            <w:top w:val="none" w:sz="0" w:space="0" w:color="auto"/>
            <w:left w:val="none" w:sz="0" w:space="0" w:color="auto"/>
            <w:bottom w:val="none" w:sz="0" w:space="0" w:color="auto"/>
            <w:right w:val="none" w:sz="0" w:space="0" w:color="auto"/>
          </w:divBdr>
        </w:div>
        <w:div w:id="1813598915">
          <w:marLeft w:val="0"/>
          <w:marRight w:val="0"/>
          <w:marTop w:val="0"/>
          <w:marBottom w:val="0"/>
          <w:divBdr>
            <w:top w:val="none" w:sz="0" w:space="0" w:color="auto"/>
            <w:left w:val="none" w:sz="0" w:space="0" w:color="auto"/>
            <w:bottom w:val="none" w:sz="0" w:space="0" w:color="auto"/>
            <w:right w:val="none" w:sz="0" w:space="0" w:color="auto"/>
          </w:divBdr>
        </w:div>
        <w:div w:id="869298736">
          <w:marLeft w:val="0"/>
          <w:marRight w:val="0"/>
          <w:marTop w:val="0"/>
          <w:marBottom w:val="0"/>
          <w:divBdr>
            <w:top w:val="none" w:sz="0" w:space="0" w:color="auto"/>
            <w:left w:val="none" w:sz="0" w:space="0" w:color="auto"/>
            <w:bottom w:val="none" w:sz="0" w:space="0" w:color="auto"/>
            <w:right w:val="none" w:sz="0" w:space="0" w:color="auto"/>
          </w:divBdr>
        </w:div>
        <w:div w:id="1352730540">
          <w:marLeft w:val="0"/>
          <w:marRight w:val="0"/>
          <w:marTop w:val="0"/>
          <w:marBottom w:val="0"/>
          <w:divBdr>
            <w:top w:val="none" w:sz="0" w:space="0" w:color="auto"/>
            <w:left w:val="none" w:sz="0" w:space="0" w:color="auto"/>
            <w:bottom w:val="none" w:sz="0" w:space="0" w:color="auto"/>
            <w:right w:val="none" w:sz="0" w:space="0" w:color="auto"/>
          </w:divBdr>
        </w:div>
        <w:div w:id="1368527729">
          <w:marLeft w:val="0"/>
          <w:marRight w:val="0"/>
          <w:marTop w:val="0"/>
          <w:marBottom w:val="0"/>
          <w:divBdr>
            <w:top w:val="none" w:sz="0" w:space="0" w:color="auto"/>
            <w:left w:val="none" w:sz="0" w:space="0" w:color="auto"/>
            <w:bottom w:val="none" w:sz="0" w:space="0" w:color="auto"/>
            <w:right w:val="none" w:sz="0" w:space="0" w:color="auto"/>
          </w:divBdr>
        </w:div>
        <w:div w:id="1979914312">
          <w:marLeft w:val="0"/>
          <w:marRight w:val="0"/>
          <w:marTop w:val="0"/>
          <w:marBottom w:val="0"/>
          <w:divBdr>
            <w:top w:val="none" w:sz="0" w:space="0" w:color="auto"/>
            <w:left w:val="none" w:sz="0" w:space="0" w:color="auto"/>
            <w:bottom w:val="none" w:sz="0" w:space="0" w:color="auto"/>
            <w:right w:val="none" w:sz="0" w:space="0" w:color="auto"/>
          </w:divBdr>
        </w:div>
        <w:div w:id="281419191">
          <w:marLeft w:val="0"/>
          <w:marRight w:val="0"/>
          <w:marTop w:val="0"/>
          <w:marBottom w:val="0"/>
          <w:divBdr>
            <w:top w:val="none" w:sz="0" w:space="0" w:color="auto"/>
            <w:left w:val="none" w:sz="0" w:space="0" w:color="auto"/>
            <w:bottom w:val="none" w:sz="0" w:space="0" w:color="auto"/>
            <w:right w:val="none" w:sz="0" w:space="0" w:color="auto"/>
          </w:divBdr>
        </w:div>
        <w:div w:id="2040550182">
          <w:marLeft w:val="0"/>
          <w:marRight w:val="0"/>
          <w:marTop w:val="0"/>
          <w:marBottom w:val="0"/>
          <w:divBdr>
            <w:top w:val="none" w:sz="0" w:space="0" w:color="auto"/>
            <w:left w:val="none" w:sz="0" w:space="0" w:color="auto"/>
            <w:bottom w:val="none" w:sz="0" w:space="0" w:color="auto"/>
            <w:right w:val="none" w:sz="0" w:space="0" w:color="auto"/>
          </w:divBdr>
        </w:div>
        <w:div w:id="160631710">
          <w:marLeft w:val="0"/>
          <w:marRight w:val="0"/>
          <w:marTop w:val="0"/>
          <w:marBottom w:val="0"/>
          <w:divBdr>
            <w:top w:val="none" w:sz="0" w:space="0" w:color="auto"/>
            <w:left w:val="none" w:sz="0" w:space="0" w:color="auto"/>
            <w:bottom w:val="none" w:sz="0" w:space="0" w:color="auto"/>
            <w:right w:val="none" w:sz="0" w:space="0" w:color="auto"/>
          </w:divBdr>
        </w:div>
        <w:div w:id="116774229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2013219565">
          <w:marLeft w:val="0"/>
          <w:marRight w:val="0"/>
          <w:marTop w:val="0"/>
          <w:marBottom w:val="0"/>
          <w:divBdr>
            <w:top w:val="none" w:sz="0" w:space="0" w:color="auto"/>
            <w:left w:val="none" w:sz="0" w:space="0" w:color="auto"/>
            <w:bottom w:val="none" w:sz="0" w:space="0" w:color="auto"/>
            <w:right w:val="none" w:sz="0" w:space="0" w:color="auto"/>
          </w:divBdr>
        </w:div>
        <w:div w:id="2091736319">
          <w:marLeft w:val="0"/>
          <w:marRight w:val="0"/>
          <w:marTop w:val="0"/>
          <w:marBottom w:val="0"/>
          <w:divBdr>
            <w:top w:val="none" w:sz="0" w:space="0" w:color="auto"/>
            <w:left w:val="none" w:sz="0" w:space="0" w:color="auto"/>
            <w:bottom w:val="none" w:sz="0" w:space="0" w:color="auto"/>
            <w:right w:val="none" w:sz="0" w:space="0" w:color="auto"/>
          </w:divBdr>
        </w:div>
        <w:div w:id="1092047387">
          <w:marLeft w:val="0"/>
          <w:marRight w:val="0"/>
          <w:marTop w:val="0"/>
          <w:marBottom w:val="0"/>
          <w:divBdr>
            <w:top w:val="none" w:sz="0" w:space="0" w:color="auto"/>
            <w:left w:val="none" w:sz="0" w:space="0" w:color="auto"/>
            <w:bottom w:val="none" w:sz="0" w:space="0" w:color="auto"/>
            <w:right w:val="none" w:sz="0" w:space="0" w:color="auto"/>
          </w:divBdr>
        </w:div>
        <w:div w:id="58015438">
          <w:marLeft w:val="0"/>
          <w:marRight w:val="0"/>
          <w:marTop w:val="0"/>
          <w:marBottom w:val="0"/>
          <w:divBdr>
            <w:top w:val="none" w:sz="0" w:space="0" w:color="auto"/>
            <w:left w:val="none" w:sz="0" w:space="0" w:color="auto"/>
            <w:bottom w:val="none" w:sz="0" w:space="0" w:color="auto"/>
            <w:right w:val="none" w:sz="0" w:space="0" w:color="auto"/>
          </w:divBdr>
        </w:div>
        <w:div w:id="1957564413">
          <w:marLeft w:val="0"/>
          <w:marRight w:val="0"/>
          <w:marTop w:val="0"/>
          <w:marBottom w:val="0"/>
          <w:divBdr>
            <w:top w:val="none" w:sz="0" w:space="0" w:color="auto"/>
            <w:left w:val="none" w:sz="0" w:space="0" w:color="auto"/>
            <w:bottom w:val="none" w:sz="0" w:space="0" w:color="auto"/>
            <w:right w:val="none" w:sz="0" w:space="0" w:color="auto"/>
          </w:divBdr>
        </w:div>
        <w:div w:id="1508248225">
          <w:marLeft w:val="0"/>
          <w:marRight w:val="0"/>
          <w:marTop w:val="0"/>
          <w:marBottom w:val="0"/>
          <w:divBdr>
            <w:top w:val="none" w:sz="0" w:space="0" w:color="auto"/>
            <w:left w:val="none" w:sz="0" w:space="0" w:color="auto"/>
            <w:bottom w:val="none" w:sz="0" w:space="0" w:color="auto"/>
            <w:right w:val="none" w:sz="0" w:space="0" w:color="auto"/>
          </w:divBdr>
        </w:div>
        <w:div w:id="1116948890">
          <w:marLeft w:val="0"/>
          <w:marRight w:val="0"/>
          <w:marTop w:val="0"/>
          <w:marBottom w:val="0"/>
          <w:divBdr>
            <w:top w:val="none" w:sz="0" w:space="0" w:color="auto"/>
            <w:left w:val="none" w:sz="0" w:space="0" w:color="auto"/>
            <w:bottom w:val="none" w:sz="0" w:space="0" w:color="auto"/>
            <w:right w:val="none" w:sz="0" w:space="0" w:color="auto"/>
          </w:divBdr>
        </w:div>
        <w:div w:id="793332359">
          <w:marLeft w:val="0"/>
          <w:marRight w:val="0"/>
          <w:marTop w:val="0"/>
          <w:marBottom w:val="0"/>
          <w:divBdr>
            <w:top w:val="none" w:sz="0" w:space="0" w:color="auto"/>
            <w:left w:val="none" w:sz="0" w:space="0" w:color="auto"/>
            <w:bottom w:val="none" w:sz="0" w:space="0" w:color="auto"/>
            <w:right w:val="none" w:sz="0" w:space="0" w:color="auto"/>
          </w:divBdr>
        </w:div>
        <w:div w:id="738747159">
          <w:marLeft w:val="0"/>
          <w:marRight w:val="0"/>
          <w:marTop w:val="0"/>
          <w:marBottom w:val="0"/>
          <w:divBdr>
            <w:top w:val="none" w:sz="0" w:space="0" w:color="auto"/>
            <w:left w:val="none" w:sz="0" w:space="0" w:color="auto"/>
            <w:bottom w:val="none" w:sz="0" w:space="0" w:color="auto"/>
            <w:right w:val="none" w:sz="0" w:space="0" w:color="auto"/>
          </w:divBdr>
        </w:div>
        <w:div w:id="463693358">
          <w:marLeft w:val="0"/>
          <w:marRight w:val="0"/>
          <w:marTop w:val="0"/>
          <w:marBottom w:val="0"/>
          <w:divBdr>
            <w:top w:val="none" w:sz="0" w:space="0" w:color="auto"/>
            <w:left w:val="none" w:sz="0" w:space="0" w:color="auto"/>
            <w:bottom w:val="none" w:sz="0" w:space="0" w:color="auto"/>
            <w:right w:val="none" w:sz="0" w:space="0" w:color="auto"/>
          </w:divBdr>
        </w:div>
        <w:div w:id="519006585">
          <w:marLeft w:val="0"/>
          <w:marRight w:val="0"/>
          <w:marTop w:val="0"/>
          <w:marBottom w:val="0"/>
          <w:divBdr>
            <w:top w:val="none" w:sz="0" w:space="0" w:color="auto"/>
            <w:left w:val="none" w:sz="0" w:space="0" w:color="auto"/>
            <w:bottom w:val="none" w:sz="0" w:space="0" w:color="auto"/>
            <w:right w:val="none" w:sz="0" w:space="0" w:color="auto"/>
          </w:divBdr>
        </w:div>
        <w:div w:id="1532112725">
          <w:marLeft w:val="0"/>
          <w:marRight w:val="0"/>
          <w:marTop w:val="0"/>
          <w:marBottom w:val="0"/>
          <w:divBdr>
            <w:top w:val="none" w:sz="0" w:space="0" w:color="auto"/>
            <w:left w:val="none" w:sz="0" w:space="0" w:color="auto"/>
            <w:bottom w:val="none" w:sz="0" w:space="0" w:color="auto"/>
            <w:right w:val="none" w:sz="0" w:space="0" w:color="auto"/>
          </w:divBdr>
        </w:div>
        <w:div w:id="2012904580">
          <w:marLeft w:val="0"/>
          <w:marRight w:val="0"/>
          <w:marTop w:val="0"/>
          <w:marBottom w:val="0"/>
          <w:divBdr>
            <w:top w:val="none" w:sz="0" w:space="0" w:color="auto"/>
            <w:left w:val="none" w:sz="0" w:space="0" w:color="auto"/>
            <w:bottom w:val="none" w:sz="0" w:space="0" w:color="auto"/>
            <w:right w:val="none" w:sz="0" w:space="0" w:color="auto"/>
          </w:divBdr>
        </w:div>
        <w:div w:id="290718748">
          <w:marLeft w:val="0"/>
          <w:marRight w:val="0"/>
          <w:marTop w:val="0"/>
          <w:marBottom w:val="0"/>
          <w:divBdr>
            <w:top w:val="none" w:sz="0" w:space="0" w:color="auto"/>
            <w:left w:val="none" w:sz="0" w:space="0" w:color="auto"/>
            <w:bottom w:val="none" w:sz="0" w:space="0" w:color="auto"/>
            <w:right w:val="none" w:sz="0" w:space="0" w:color="auto"/>
          </w:divBdr>
        </w:div>
        <w:div w:id="838890817">
          <w:marLeft w:val="0"/>
          <w:marRight w:val="0"/>
          <w:marTop w:val="0"/>
          <w:marBottom w:val="0"/>
          <w:divBdr>
            <w:top w:val="none" w:sz="0" w:space="0" w:color="auto"/>
            <w:left w:val="none" w:sz="0" w:space="0" w:color="auto"/>
            <w:bottom w:val="none" w:sz="0" w:space="0" w:color="auto"/>
            <w:right w:val="none" w:sz="0" w:space="0" w:color="auto"/>
          </w:divBdr>
        </w:div>
        <w:div w:id="2001619303">
          <w:marLeft w:val="0"/>
          <w:marRight w:val="0"/>
          <w:marTop w:val="0"/>
          <w:marBottom w:val="0"/>
          <w:divBdr>
            <w:top w:val="none" w:sz="0" w:space="0" w:color="auto"/>
            <w:left w:val="none" w:sz="0" w:space="0" w:color="auto"/>
            <w:bottom w:val="none" w:sz="0" w:space="0" w:color="auto"/>
            <w:right w:val="none" w:sz="0" w:space="0" w:color="auto"/>
          </w:divBdr>
        </w:div>
        <w:div w:id="15229667">
          <w:marLeft w:val="0"/>
          <w:marRight w:val="0"/>
          <w:marTop w:val="0"/>
          <w:marBottom w:val="0"/>
          <w:divBdr>
            <w:top w:val="none" w:sz="0" w:space="0" w:color="auto"/>
            <w:left w:val="none" w:sz="0" w:space="0" w:color="auto"/>
            <w:bottom w:val="none" w:sz="0" w:space="0" w:color="auto"/>
            <w:right w:val="none" w:sz="0" w:space="0" w:color="auto"/>
          </w:divBdr>
        </w:div>
        <w:div w:id="1263149601">
          <w:marLeft w:val="0"/>
          <w:marRight w:val="0"/>
          <w:marTop w:val="0"/>
          <w:marBottom w:val="0"/>
          <w:divBdr>
            <w:top w:val="none" w:sz="0" w:space="0" w:color="auto"/>
            <w:left w:val="none" w:sz="0" w:space="0" w:color="auto"/>
            <w:bottom w:val="none" w:sz="0" w:space="0" w:color="auto"/>
            <w:right w:val="none" w:sz="0" w:space="0" w:color="auto"/>
          </w:divBdr>
        </w:div>
        <w:div w:id="1352608851">
          <w:marLeft w:val="0"/>
          <w:marRight w:val="0"/>
          <w:marTop w:val="0"/>
          <w:marBottom w:val="0"/>
          <w:divBdr>
            <w:top w:val="none" w:sz="0" w:space="0" w:color="auto"/>
            <w:left w:val="none" w:sz="0" w:space="0" w:color="auto"/>
            <w:bottom w:val="none" w:sz="0" w:space="0" w:color="auto"/>
            <w:right w:val="none" w:sz="0" w:space="0" w:color="auto"/>
          </w:divBdr>
        </w:div>
        <w:div w:id="1899782279">
          <w:marLeft w:val="0"/>
          <w:marRight w:val="0"/>
          <w:marTop w:val="0"/>
          <w:marBottom w:val="0"/>
          <w:divBdr>
            <w:top w:val="none" w:sz="0" w:space="0" w:color="auto"/>
            <w:left w:val="none" w:sz="0" w:space="0" w:color="auto"/>
            <w:bottom w:val="none" w:sz="0" w:space="0" w:color="auto"/>
            <w:right w:val="none" w:sz="0" w:space="0" w:color="auto"/>
          </w:divBdr>
        </w:div>
        <w:div w:id="968972987">
          <w:marLeft w:val="0"/>
          <w:marRight w:val="0"/>
          <w:marTop w:val="0"/>
          <w:marBottom w:val="0"/>
          <w:divBdr>
            <w:top w:val="none" w:sz="0" w:space="0" w:color="auto"/>
            <w:left w:val="none" w:sz="0" w:space="0" w:color="auto"/>
            <w:bottom w:val="none" w:sz="0" w:space="0" w:color="auto"/>
            <w:right w:val="none" w:sz="0" w:space="0" w:color="auto"/>
          </w:divBdr>
        </w:div>
        <w:div w:id="1218476100">
          <w:marLeft w:val="0"/>
          <w:marRight w:val="0"/>
          <w:marTop w:val="0"/>
          <w:marBottom w:val="0"/>
          <w:divBdr>
            <w:top w:val="none" w:sz="0" w:space="0" w:color="auto"/>
            <w:left w:val="none" w:sz="0" w:space="0" w:color="auto"/>
            <w:bottom w:val="none" w:sz="0" w:space="0" w:color="auto"/>
            <w:right w:val="none" w:sz="0" w:space="0" w:color="auto"/>
          </w:divBdr>
        </w:div>
        <w:div w:id="37048161">
          <w:marLeft w:val="0"/>
          <w:marRight w:val="0"/>
          <w:marTop w:val="0"/>
          <w:marBottom w:val="0"/>
          <w:divBdr>
            <w:top w:val="none" w:sz="0" w:space="0" w:color="auto"/>
            <w:left w:val="none" w:sz="0" w:space="0" w:color="auto"/>
            <w:bottom w:val="none" w:sz="0" w:space="0" w:color="auto"/>
            <w:right w:val="none" w:sz="0" w:space="0" w:color="auto"/>
          </w:divBdr>
        </w:div>
        <w:div w:id="1847557431">
          <w:marLeft w:val="0"/>
          <w:marRight w:val="0"/>
          <w:marTop w:val="0"/>
          <w:marBottom w:val="0"/>
          <w:divBdr>
            <w:top w:val="none" w:sz="0" w:space="0" w:color="auto"/>
            <w:left w:val="none" w:sz="0" w:space="0" w:color="auto"/>
            <w:bottom w:val="none" w:sz="0" w:space="0" w:color="auto"/>
            <w:right w:val="none" w:sz="0" w:space="0" w:color="auto"/>
          </w:divBdr>
        </w:div>
        <w:div w:id="1394237011">
          <w:marLeft w:val="0"/>
          <w:marRight w:val="0"/>
          <w:marTop w:val="0"/>
          <w:marBottom w:val="0"/>
          <w:divBdr>
            <w:top w:val="none" w:sz="0" w:space="0" w:color="auto"/>
            <w:left w:val="none" w:sz="0" w:space="0" w:color="auto"/>
            <w:bottom w:val="none" w:sz="0" w:space="0" w:color="auto"/>
            <w:right w:val="none" w:sz="0" w:space="0" w:color="auto"/>
          </w:divBdr>
        </w:div>
        <w:div w:id="1177383310">
          <w:marLeft w:val="0"/>
          <w:marRight w:val="0"/>
          <w:marTop w:val="0"/>
          <w:marBottom w:val="0"/>
          <w:divBdr>
            <w:top w:val="none" w:sz="0" w:space="0" w:color="auto"/>
            <w:left w:val="none" w:sz="0" w:space="0" w:color="auto"/>
            <w:bottom w:val="none" w:sz="0" w:space="0" w:color="auto"/>
            <w:right w:val="none" w:sz="0" w:space="0" w:color="auto"/>
          </w:divBdr>
        </w:div>
        <w:div w:id="1855143329">
          <w:marLeft w:val="0"/>
          <w:marRight w:val="0"/>
          <w:marTop w:val="0"/>
          <w:marBottom w:val="0"/>
          <w:divBdr>
            <w:top w:val="none" w:sz="0" w:space="0" w:color="auto"/>
            <w:left w:val="none" w:sz="0" w:space="0" w:color="auto"/>
            <w:bottom w:val="none" w:sz="0" w:space="0" w:color="auto"/>
            <w:right w:val="none" w:sz="0" w:space="0" w:color="auto"/>
          </w:divBdr>
        </w:div>
        <w:div w:id="1870727378">
          <w:marLeft w:val="0"/>
          <w:marRight w:val="0"/>
          <w:marTop w:val="0"/>
          <w:marBottom w:val="0"/>
          <w:divBdr>
            <w:top w:val="none" w:sz="0" w:space="0" w:color="auto"/>
            <w:left w:val="none" w:sz="0" w:space="0" w:color="auto"/>
            <w:bottom w:val="none" w:sz="0" w:space="0" w:color="auto"/>
            <w:right w:val="none" w:sz="0" w:space="0" w:color="auto"/>
          </w:divBdr>
        </w:div>
        <w:div w:id="1489395914">
          <w:marLeft w:val="0"/>
          <w:marRight w:val="0"/>
          <w:marTop w:val="0"/>
          <w:marBottom w:val="0"/>
          <w:divBdr>
            <w:top w:val="none" w:sz="0" w:space="0" w:color="auto"/>
            <w:left w:val="none" w:sz="0" w:space="0" w:color="auto"/>
            <w:bottom w:val="none" w:sz="0" w:space="0" w:color="auto"/>
            <w:right w:val="none" w:sz="0" w:space="0" w:color="auto"/>
          </w:divBdr>
        </w:div>
        <w:div w:id="1354068425">
          <w:marLeft w:val="0"/>
          <w:marRight w:val="0"/>
          <w:marTop w:val="0"/>
          <w:marBottom w:val="0"/>
          <w:divBdr>
            <w:top w:val="none" w:sz="0" w:space="0" w:color="auto"/>
            <w:left w:val="none" w:sz="0" w:space="0" w:color="auto"/>
            <w:bottom w:val="none" w:sz="0" w:space="0" w:color="auto"/>
            <w:right w:val="none" w:sz="0" w:space="0" w:color="auto"/>
          </w:divBdr>
        </w:div>
        <w:div w:id="1264802224">
          <w:marLeft w:val="0"/>
          <w:marRight w:val="0"/>
          <w:marTop w:val="0"/>
          <w:marBottom w:val="0"/>
          <w:divBdr>
            <w:top w:val="none" w:sz="0" w:space="0" w:color="auto"/>
            <w:left w:val="none" w:sz="0" w:space="0" w:color="auto"/>
            <w:bottom w:val="none" w:sz="0" w:space="0" w:color="auto"/>
            <w:right w:val="none" w:sz="0" w:space="0" w:color="auto"/>
          </w:divBdr>
        </w:div>
        <w:div w:id="1350637998">
          <w:marLeft w:val="0"/>
          <w:marRight w:val="0"/>
          <w:marTop w:val="0"/>
          <w:marBottom w:val="0"/>
          <w:divBdr>
            <w:top w:val="none" w:sz="0" w:space="0" w:color="auto"/>
            <w:left w:val="none" w:sz="0" w:space="0" w:color="auto"/>
            <w:bottom w:val="none" w:sz="0" w:space="0" w:color="auto"/>
            <w:right w:val="none" w:sz="0" w:space="0" w:color="auto"/>
          </w:divBdr>
        </w:div>
        <w:div w:id="644048193">
          <w:marLeft w:val="0"/>
          <w:marRight w:val="0"/>
          <w:marTop w:val="0"/>
          <w:marBottom w:val="0"/>
          <w:divBdr>
            <w:top w:val="none" w:sz="0" w:space="0" w:color="auto"/>
            <w:left w:val="none" w:sz="0" w:space="0" w:color="auto"/>
            <w:bottom w:val="none" w:sz="0" w:space="0" w:color="auto"/>
            <w:right w:val="none" w:sz="0" w:space="0" w:color="auto"/>
          </w:divBdr>
        </w:div>
      </w:divsChild>
    </w:div>
    <w:div w:id="234166923">
      <w:bodyDiv w:val="1"/>
      <w:marLeft w:val="0"/>
      <w:marRight w:val="0"/>
      <w:marTop w:val="0"/>
      <w:marBottom w:val="0"/>
      <w:divBdr>
        <w:top w:val="none" w:sz="0" w:space="0" w:color="auto"/>
        <w:left w:val="none" w:sz="0" w:space="0" w:color="auto"/>
        <w:bottom w:val="none" w:sz="0" w:space="0" w:color="auto"/>
        <w:right w:val="none" w:sz="0" w:space="0" w:color="auto"/>
      </w:divBdr>
    </w:div>
    <w:div w:id="333144906">
      <w:bodyDiv w:val="1"/>
      <w:marLeft w:val="0"/>
      <w:marRight w:val="0"/>
      <w:marTop w:val="0"/>
      <w:marBottom w:val="0"/>
      <w:divBdr>
        <w:top w:val="none" w:sz="0" w:space="0" w:color="auto"/>
        <w:left w:val="none" w:sz="0" w:space="0" w:color="auto"/>
        <w:bottom w:val="none" w:sz="0" w:space="0" w:color="auto"/>
        <w:right w:val="none" w:sz="0" w:space="0" w:color="auto"/>
      </w:divBdr>
    </w:div>
    <w:div w:id="373116494">
      <w:bodyDiv w:val="1"/>
      <w:marLeft w:val="0"/>
      <w:marRight w:val="0"/>
      <w:marTop w:val="0"/>
      <w:marBottom w:val="0"/>
      <w:divBdr>
        <w:top w:val="none" w:sz="0" w:space="0" w:color="auto"/>
        <w:left w:val="none" w:sz="0" w:space="0" w:color="auto"/>
        <w:bottom w:val="none" w:sz="0" w:space="0" w:color="auto"/>
        <w:right w:val="none" w:sz="0" w:space="0" w:color="auto"/>
      </w:divBdr>
      <w:divsChild>
        <w:div w:id="338318074">
          <w:marLeft w:val="0"/>
          <w:marRight w:val="0"/>
          <w:marTop w:val="0"/>
          <w:marBottom w:val="0"/>
          <w:divBdr>
            <w:top w:val="none" w:sz="0" w:space="0" w:color="auto"/>
            <w:left w:val="none" w:sz="0" w:space="0" w:color="auto"/>
            <w:bottom w:val="none" w:sz="0" w:space="0" w:color="auto"/>
            <w:right w:val="none" w:sz="0" w:space="0" w:color="auto"/>
          </w:divBdr>
        </w:div>
        <w:div w:id="1317954503">
          <w:marLeft w:val="0"/>
          <w:marRight w:val="0"/>
          <w:marTop w:val="0"/>
          <w:marBottom w:val="0"/>
          <w:divBdr>
            <w:top w:val="none" w:sz="0" w:space="0" w:color="auto"/>
            <w:left w:val="none" w:sz="0" w:space="0" w:color="auto"/>
            <w:bottom w:val="none" w:sz="0" w:space="0" w:color="auto"/>
            <w:right w:val="none" w:sz="0" w:space="0" w:color="auto"/>
          </w:divBdr>
        </w:div>
        <w:div w:id="1982618271">
          <w:marLeft w:val="0"/>
          <w:marRight w:val="0"/>
          <w:marTop w:val="0"/>
          <w:marBottom w:val="0"/>
          <w:divBdr>
            <w:top w:val="none" w:sz="0" w:space="0" w:color="auto"/>
            <w:left w:val="none" w:sz="0" w:space="0" w:color="auto"/>
            <w:bottom w:val="none" w:sz="0" w:space="0" w:color="auto"/>
            <w:right w:val="none" w:sz="0" w:space="0" w:color="auto"/>
          </w:divBdr>
        </w:div>
        <w:div w:id="862286802">
          <w:marLeft w:val="0"/>
          <w:marRight w:val="0"/>
          <w:marTop w:val="0"/>
          <w:marBottom w:val="0"/>
          <w:divBdr>
            <w:top w:val="none" w:sz="0" w:space="0" w:color="auto"/>
            <w:left w:val="none" w:sz="0" w:space="0" w:color="auto"/>
            <w:bottom w:val="none" w:sz="0" w:space="0" w:color="auto"/>
            <w:right w:val="none" w:sz="0" w:space="0" w:color="auto"/>
          </w:divBdr>
        </w:div>
        <w:div w:id="1634677474">
          <w:marLeft w:val="0"/>
          <w:marRight w:val="0"/>
          <w:marTop w:val="0"/>
          <w:marBottom w:val="0"/>
          <w:divBdr>
            <w:top w:val="none" w:sz="0" w:space="0" w:color="auto"/>
            <w:left w:val="none" w:sz="0" w:space="0" w:color="auto"/>
            <w:bottom w:val="none" w:sz="0" w:space="0" w:color="auto"/>
            <w:right w:val="none" w:sz="0" w:space="0" w:color="auto"/>
          </w:divBdr>
        </w:div>
      </w:divsChild>
    </w:div>
    <w:div w:id="378869320">
      <w:bodyDiv w:val="1"/>
      <w:marLeft w:val="0"/>
      <w:marRight w:val="0"/>
      <w:marTop w:val="0"/>
      <w:marBottom w:val="0"/>
      <w:divBdr>
        <w:top w:val="none" w:sz="0" w:space="0" w:color="auto"/>
        <w:left w:val="none" w:sz="0" w:space="0" w:color="auto"/>
        <w:bottom w:val="none" w:sz="0" w:space="0" w:color="auto"/>
        <w:right w:val="none" w:sz="0" w:space="0" w:color="auto"/>
      </w:divBdr>
    </w:div>
    <w:div w:id="548154780">
      <w:bodyDiv w:val="1"/>
      <w:marLeft w:val="0"/>
      <w:marRight w:val="0"/>
      <w:marTop w:val="0"/>
      <w:marBottom w:val="0"/>
      <w:divBdr>
        <w:top w:val="none" w:sz="0" w:space="0" w:color="auto"/>
        <w:left w:val="none" w:sz="0" w:space="0" w:color="auto"/>
        <w:bottom w:val="none" w:sz="0" w:space="0" w:color="auto"/>
        <w:right w:val="none" w:sz="0" w:space="0" w:color="auto"/>
      </w:divBdr>
    </w:div>
    <w:div w:id="592976957">
      <w:bodyDiv w:val="1"/>
      <w:marLeft w:val="0"/>
      <w:marRight w:val="0"/>
      <w:marTop w:val="0"/>
      <w:marBottom w:val="0"/>
      <w:divBdr>
        <w:top w:val="none" w:sz="0" w:space="0" w:color="auto"/>
        <w:left w:val="none" w:sz="0" w:space="0" w:color="auto"/>
        <w:bottom w:val="none" w:sz="0" w:space="0" w:color="auto"/>
        <w:right w:val="none" w:sz="0" w:space="0" w:color="auto"/>
      </w:divBdr>
    </w:div>
    <w:div w:id="822746268">
      <w:bodyDiv w:val="1"/>
      <w:marLeft w:val="0"/>
      <w:marRight w:val="0"/>
      <w:marTop w:val="0"/>
      <w:marBottom w:val="0"/>
      <w:divBdr>
        <w:top w:val="none" w:sz="0" w:space="0" w:color="auto"/>
        <w:left w:val="none" w:sz="0" w:space="0" w:color="auto"/>
        <w:bottom w:val="none" w:sz="0" w:space="0" w:color="auto"/>
        <w:right w:val="none" w:sz="0" w:space="0" w:color="auto"/>
      </w:divBdr>
    </w:div>
    <w:div w:id="825510499">
      <w:bodyDiv w:val="1"/>
      <w:marLeft w:val="0"/>
      <w:marRight w:val="0"/>
      <w:marTop w:val="0"/>
      <w:marBottom w:val="0"/>
      <w:divBdr>
        <w:top w:val="none" w:sz="0" w:space="0" w:color="auto"/>
        <w:left w:val="none" w:sz="0" w:space="0" w:color="auto"/>
        <w:bottom w:val="none" w:sz="0" w:space="0" w:color="auto"/>
        <w:right w:val="none" w:sz="0" w:space="0" w:color="auto"/>
      </w:divBdr>
    </w:div>
    <w:div w:id="842429440">
      <w:bodyDiv w:val="1"/>
      <w:marLeft w:val="0"/>
      <w:marRight w:val="0"/>
      <w:marTop w:val="0"/>
      <w:marBottom w:val="0"/>
      <w:divBdr>
        <w:top w:val="none" w:sz="0" w:space="0" w:color="auto"/>
        <w:left w:val="none" w:sz="0" w:space="0" w:color="auto"/>
        <w:bottom w:val="none" w:sz="0" w:space="0" w:color="auto"/>
        <w:right w:val="none" w:sz="0" w:space="0" w:color="auto"/>
      </w:divBdr>
    </w:div>
    <w:div w:id="918028694">
      <w:bodyDiv w:val="1"/>
      <w:marLeft w:val="0"/>
      <w:marRight w:val="0"/>
      <w:marTop w:val="0"/>
      <w:marBottom w:val="0"/>
      <w:divBdr>
        <w:top w:val="none" w:sz="0" w:space="0" w:color="auto"/>
        <w:left w:val="none" w:sz="0" w:space="0" w:color="auto"/>
        <w:bottom w:val="none" w:sz="0" w:space="0" w:color="auto"/>
        <w:right w:val="none" w:sz="0" w:space="0" w:color="auto"/>
      </w:divBdr>
    </w:div>
    <w:div w:id="1026172525">
      <w:bodyDiv w:val="1"/>
      <w:marLeft w:val="0"/>
      <w:marRight w:val="0"/>
      <w:marTop w:val="0"/>
      <w:marBottom w:val="0"/>
      <w:divBdr>
        <w:top w:val="none" w:sz="0" w:space="0" w:color="auto"/>
        <w:left w:val="none" w:sz="0" w:space="0" w:color="auto"/>
        <w:bottom w:val="none" w:sz="0" w:space="0" w:color="auto"/>
        <w:right w:val="none" w:sz="0" w:space="0" w:color="auto"/>
      </w:divBdr>
    </w:div>
    <w:div w:id="1104153577">
      <w:bodyDiv w:val="1"/>
      <w:marLeft w:val="0"/>
      <w:marRight w:val="0"/>
      <w:marTop w:val="0"/>
      <w:marBottom w:val="0"/>
      <w:divBdr>
        <w:top w:val="none" w:sz="0" w:space="0" w:color="auto"/>
        <w:left w:val="none" w:sz="0" w:space="0" w:color="auto"/>
        <w:bottom w:val="none" w:sz="0" w:space="0" w:color="auto"/>
        <w:right w:val="none" w:sz="0" w:space="0" w:color="auto"/>
      </w:divBdr>
    </w:div>
    <w:div w:id="1262644784">
      <w:bodyDiv w:val="1"/>
      <w:marLeft w:val="0"/>
      <w:marRight w:val="0"/>
      <w:marTop w:val="0"/>
      <w:marBottom w:val="0"/>
      <w:divBdr>
        <w:top w:val="none" w:sz="0" w:space="0" w:color="auto"/>
        <w:left w:val="none" w:sz="0" w:space="0" w:color="auto"/>
        <w:bottom w:val="none" w:sz="0" w:space="0" w:color="auto"/>
        <w:right w:val="none" w:sz="0" w:space="0" w:color="auto"/>
      </w:divBdr>
    </w:div>
    <w:div w:id="1655374014">
      <w:bodyDiv w:val="1"/>
      <w:marLeft w:val="0"/>
      <w:marRight w:val="0"/>
      <w:marTop w:val="0"/>
      <w:marBottom w:val="0"/>
      <w:divBdr>
        <w:top w:val="none" w:sz="0" w:space="0" w:color="auto"/>
        <w:left w:val="none" w:sz="0" w:space="0" w:color="auto"/>
        <w:bottom w:val="none" w:sz="0" w:space="0" w:color="auto"/>
        <w:right w:val="none" w:sz="0" w:space="0" w:color="auto"/>
      </w:divBdr>
    </w:div>
    <w:div w:id="1723867587">
      <w:bodyDiv w:val="1"/>
      <w:marLeft w:val="0"/>
      <w:marRight w:val="0"/>
      <w:marTop w:val="0"/>
      <w:marBottom w:val="0"/>
      <w:divBdr>
        <w:top w:val="none" w:sz="0" w:space="0" w:color="auto"/>
        <w:left w:val="none" w:sz="0" w:space="0" w:color="auto"/>
        <w:bottom w:val="none" w:sz="0" w:space="0" w:color="auto"/>
        <w:right w:val="none" w:sz="0" w:space="0" w:color="auto"/>
      </w:divBdr>
    </w:div>
    <w:div w:id="1729719458">
      <w:bodyDiv w:val="1"/>
      <w:marLeft w:val="0"/>
      <w:marRight w:val="0"/>
      <w:marTop w:val="0"/>
      <w:marBottom w:val="0"/>
      <w:divBdr>
        <w:top w:val="none" w:sz="0" w:space="0" w:color="auto"/>
        <w:left w:val="none" w:sz="0" w:space="0" w:color="auto"/>
        <w:bottom w:val="none" w:sz="0" w:space="0" w:color="auto"/>
        <w:right w:val="none" w:sz="0" w:space="0" w:color="auto"/>
      </w:divBdr>
      <w:divsChild>
        <w:div w:id="1226650495">
          <w:marLeft w:val="0"/>
          <w:marRight w:val="0"/>
          <w:marTop w:val="0"/>
          <w:marBottom w:val="0"/>
          <w:divBdr>
            <w:top w:val="none" w:sz="0" w:space="0" w:color="auto"/>
            <w:left w:val="none" w:sz="0" w:space="0" w:color="auto"/>
            <w:bottom w:val="none" w:sz="0" w:space="0" w:color="auto"/>
            <w:right w:val="none" w:sz="0" w:space="0" w:color="auto"/>
          </w:divBdr>
        </w:div>
        <w:div w:id="679309279">
          <w:marLeft w:val="0"/>
          <w:marRight w:val="0"/>
          <w:marTop w:val="0"/>
          <w:marBottom w:val="0"/>
          <w:divBdr>
            <w:top w:val="none" w:sz="0" w:space="0" w:color="auto"/>
            <w:left w:val="none" w:sz="0" w:space="0" w:color="auto"/>
            <w:bottom w:val="none" w:sz="0" w:space="0" w:color="auto"/>
            <w:right w:val="none" w:sz="0" w:space="0" w:color="auto"/>
          </w:divBdr>
        </w:div>
        <w:div w:id="1984851429">
          <w:marLeft w:val="0"/>
          <w:marRight w:val="0"/>
          <w:marTop w:val="0"/>
          <w:marBottom w:val="0"/>
          <w:divBdr>
            <w:top w:val="none" w:sz="0" w:space="0" w:color="auto"/>
            <w:left w:val="none" w:sz="0" w:space="0" w:color="auto"/>
            <w:bottom w:val="none" w:sz="0" w:space="0" w:color="auto"/>
            <w:right w:val="none" w:sz="0" w:space="0" w:color="auto"/>
          </w:divBdr>
        </w:div>
        <w:div w:id="477041199">
          <w:marLeft w:val="0"/>
          <w:marRight w:val="0"/>
          <w:marTop w:val="0"/>
          <w:marBottom w:val="0"/>
          <w:divBdr>
            <w:top w:val="none" w:sz="0" w:space="0" w:color="auto"/>
            <w:left w:val="none" w:sz="0" w:space="0" w:color="auto"/>
            <w:bottom w:val="none" w:sz="0" w:space="0" w:color="auto"/>
            <w:right w:val="none" w:sz="0" w:space="0" w:color="auto"/>
          </w:divBdr>
        </w:div>
        <w:div w:id="834999936">
          <w:marLeft w:val="0"/>
          <w:marRight w:val="0"/>
          <w:marTop w:val="0"/>
          <w:marBottom w:val="0"/>
          <w:divBdr>
            <w:top w:val="none" w:sz="0" w:space="0" w:color="auto"/>
            <w:left w:val="none" w:sz="0" w:space="0" w:color="auto"/>
            <w:bottom w:val="none" w:sz="0" w:space="0" w:color="auto"/>
            <w:right w:val="none" w:sz="0" w:space="0" w:color="auto"/>
          </w:divBdr>
        </w:div>
        <w:div w:id="1042435413">
          <w:marLeft w:val="0"/>
          <w:marRight w:val="0"/>
          <w:marTop w:val="0"/>
          <w:marBottom w:val="0"/>
          <w:divBdr>
            <w:top w:val="none" w:sz="0" w:space="0" w:color="auto"/>
            <w:left w:val="none" w:sz="0" w:space="0" w:color="auto"/>
            <w:bottom w:val="none" w:sz="0" w:space="0" w:color="auto"/>
            <w:right w:val="none" w:sz="0" w:space="0" w:color="auto"/>
          </w:divBdr>
        </w:div>
        <w:div w:id="1657567306">
          <w:marLeft w:val="0"/>
          <w:marRight w:val="0"/>
          <w:marTop w:val="0"/>
          <w:marBottom w:val="0"/>
          <w:divBdr>
            <w:top w:val="none" w:sz="0" w:space="0" w:color="auto"/>
            <w:left w:val="none" w:sz="0" w:space="0" w:color="auto"/>
            <w:bottom w:val="none" w:sz="0" w:space="0" w:color="auto"/>
            <w:right w:val="none" w:sz="0" w:space="0" w:color="auto"/>
          </w:divBdr>
        </w:div>
        <w:div w:id="1771200083">
          <w:marLeft w:val="0"/>
          <w:marRight w:val="0"/>
          <w:marTop w:val="0"/>
          <w:marBottom w:val="0"/>
          <w:divBdr>
            <w:top w:val="none" w:sz="0" w:space="0" w:color="auto"/>
            <w:left w:val="none" w:sz="0" w:space="0" w:color="auto"/>
            <w:bottom w:val="none" w:sz="0" w:space="0" w:color="auto"/>
            <w:right w:val="none" w:sz="0" w:space="0" w:color="auto"/>
          </w:divBdr>
        </w:div>
        <w:div w:id="759064659">
          <w:marLeft w:val="0"/>
          <w:marRight w:val="0"/>
          <w:marTop w:val="0"/>
          <w:marBottom w:val="0"/>
          <w:divBdr>
            <w:top w:val="none" w:sz="0" w:space="0" w:color="auto"/>
            <w:left w:val="none" w:sz="0" w:space="0" w:color="auto"/>
            <w:bottom w:val="none" w:sz="0" w:space="0" w:color="auto"/>
            <w:right w:val="none" w:sz="0" w:space="0" w:color="auto"/>
          </w:divBdr>
        </w:div>
      </w:divsChild>
    </w:div>
    <w:div w:id="1868567043">
      <w:bodyDiv w:val="1"/>
      <w:marLeft w:val="0"/>
      <w:marRight w:val="0"/>
      <w:marTop w:val="0"/>
      <w:marBottom w:val="0"/>
      <w:divBdr>
        <w:top w:val="none" w:sz="0" w:space="0" w:color="auto"/>
        <w:left w:val="none" w:sz="0" w:space="0" w:color="auto"/>
        <w:bottom w:val="none" w:sz="0" w:space="0" w:color="auto"/>
        <w:right w:val="none" w:sz="0" w:space="0" w:color="auto"/>
      </w:divBdr>
    </w:div>
    <w:div w:id="1930117493">
      <w:bodyDiv w:val="1"/>
      <w:marLeft w:val="0"/>
      <w:marRight w:val="0"/>
      <w:marTop w:val="0"/>
      <w:marBottom w:val="0"/>
      <w:divBdr>
        <w:top w:val="none" w:sz="0" w:space="0" w:color="auto"/>
        <w:left w:val="none" w:sz="0" w:space="0" w:color="auto"/>
        <w:bottom w:val="none" w:sz="0" w:space="0" w:color="auto"/>
        <w:right w:val="none" w:sz="0" w:space="0" w:color="auto"/>
      </w:divBdr>
    </w:div>
    <w:div w:id="1965580442">
      <w:bodyDiv w:val="1"/>
      <w:marLeft w:val="0"/>
      <w:marRight w:val="0"/>
      <w:marTop w:val="0"/>
      <w:marBottom w:val="0"/>
      <w:divBdr>
        <w:top w:val="none" w:sz="0" w:space="0" w:color="auto"/>
        <w:left w:val="none" w:sz="0" w:space="0" w:color="auto"/>
        <w:bottom w:val="none" w:sz="0" w:space="0" w:color="auto"/>
        <w:right w:val="none" w:sz="0" w:space="0" w:color="auto"/>
      </w:divBdr>
    </w:div>
    <w:div w:id="2093969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17</Pages>
  <Words>4146</Words>
  <Characters>23637</Characters>
  <Application>Microsoft Macintosh Word</Application>
  <DocSecurity>0</DocSecurity>
  <Lines>196</Lines>
  <Paragraphs>47</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29027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GERKRATH</dc:creator>
  <cp:keywords/>
  <cp:lastModifiedBy>Jörg GERKRATH</cp:lastModifiedBy>
  <cp:revision>21</cp:revision>
  <cp:lastPrinted>2013-12-06T10:11:00Z</cp:lastPrinted>
  <dcterms:created xsi:type="dcterms:W3CDTF">2014-11-17T14:47:00Z</dcterms:created>
  <dcterms:modified xsi:type="dcterms:W3CDTF">2014-11-28T20:02:00Z</dcterms:modified>
</cp:coreProperties>
</file>