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F17" w:rsidRPr="001B5A51" w:rsidRDefault="00574F17" w:rsidP="003378C9">
      <w:pPr>
        <w:pStyle w:val="Heading1"/>
        <w:spacing w:before="120"/>
        <w:jc w:val="center"/>
        <w:rPr>
          <w:rFonts w:ascii="Times New Roman" w:hAnsi="Times New Roman" w:cs="Times New Roman"/>
          <w:i/>
          <w:szCs w:val="24"/>
          <w:lang w:val="fr-FR"/>
        </w:rPr>
      </w:pPr>
      <w:r w:rsidRPr="001B5A51">
        <w:rPr>
          <w:rFonts w:ascii="Times New Roman" w:hAnsi="Times New Roman" w:cs="Times New Roman"/>
          <w:i/>
          <w:szCs w:val="24"/>
          <w:lang w:val="fr-FR"/>
        </w:rPr>
        <w:t>Le dialogue entre le Bu</w:t>
      </w:r>
      <w:r w:rsidR="00ED05C8" w:rsidRPr="001B5A51">
        <w:rPr>
          <w:rFonts w:ascii="Times New Roman" w:hAnsi="Times New Roman" w:cs="Times New Roman"/>
          <w:i/>
          <w:szCs w:val="24"/>
          <w:lang w:val="fr-FR"/>
        </w:rPr>
        <w:t>ndesverfassungsgericht allemand</w:t>
      </w:r>
      <w:r w:rsidR="00ED05C8" w:rsidRPr="001B5A51">
        <w:rPr>
          <w:rFonts w:ascii="Times New Roman" w:hAnsi="Times New Roman" w:cs="Times New Roman"/>
          <w:i/>
          <w:szCs w:val="24"/>
          <w:lang w:val="fr-FR"/>
        </w:rPr>
        <w:br/>
      </w:r>
      <w:r w:rsidRPr="001B5A51">
        <w:rPr>
          <w:rFonts w:ascii="Times New Roman" w:hAnsi="Times New Roman" w:cs="Times New Roman"/>
          <w:i/>
          <w:szCs w:val="24"/>
          <w:lang w:val="fr-FR"/>
        </w:rPr>
        <w:t>e</w:t>
      </w:r>
      <w:r w:rsidR="00ED05C8" w:rsidRPr="001B5A51">
        <w:rPr>
          <w:rFonts w:ascii="Times New Roman" w:hAnsi="Times New Roman" w:cs="Times New Roman"/>
          <w:i/>
          <w:szCs w:val="24"/>
          <w:lang w:val="fr-FR"/>
        </w:rPr>
        <w:t>t la Cour de justice de l’Union</w:t>
      </w:r>
      <w:r w:rsidR="00ED05C8" w:rsidRPr="001B5A51">
        <w:rPr>
          <w:rFonts w:ascii="Times New Roman" w:hAnsi="Times New Roman" w:cs="Times New Roman"/>
          <w:i/>
          <w:szCs w:val="24"/>
          <w:lang w:val="fr-FR"/>
        </w:rPr>
        <w:br/>
      </w:r>
      <w:r w:rsidRPr="001B5A51">
        <w:rPr>
          <w:rFonts w:ascii="Times New Roman" w:hAnsi="Times New Roman" w:cs="Times New Roman"/>
          <w:i/>
          <w:szCs w:val="24"/>
          <w:lang w:val="fr-FR"/>
        </w:rPr>
        <w:t>à propos du champ d’application de la Charte des droits fo</w:t>
      </w:r>
      <w:r w:rsidR="00655C36" w:rsidRPr="001B5A51">
        <w:rPr>
          <w:rFonts w:ascii="Times New Roman" w:hAnsi="Times New Roman" w:cs="Times New Roman"/>
          <w:i/>
          <w:szCs w:val="24"/>
          <w:lang w:val="fr-FR"/>
        </w:rPr>
        <w:t>ndamentaux de l’UE</w:t>
      </w:r>
    </w:p>
    <w:p w:rsidR="00655C36" w:rsidRPr="001B5A51" w:rsidRDefault="00655C36" w:rsidP="003378C9">
      <w:pPr>
        <w:spacing w:before="120"/>
        <w:rPr>
          <w:rFonts w:ascii="Times New Roman" w:hAnsi="Times New Roman"/>
          <w:sz w:val="28"/>
          <w:lang w:val="fr-FR"/>
        </w:rPr>
      </w:pPr>
    </w:p>
    <w:p w:rsidR="006F1515" w:rsidRPr="001B5A51" w:rsidRDefault="006F1515" w:rsidP="003378C9">
      <w:pPr>
        <w:spacing w:before="120"/>
        <w:rPr>
          <w:rFonts w:ascii="Times New Roman" w:hAnsi="Times New Roman"/>
          <w:b/>
          <w:sz w:val="28"/>
          <w:lang w:val="fr-FR"/>
        </w:rPr>
      </w:pPr>
    </w:p>
    <w:p w:rsidR="00655C36" w:rsidRPr="001B5A51" w:rsidRDefault="00655C36" w:rsidP="003378C9">
      <w:pPr>
        <w:spacing w:before="120"/>
        <w:rPr>
          <w:rFonts w:ascii="Times New Roman" w:hAnsi="Times New Roman"/>
          <w:b/>
          <w:sz w:val="28"/>
          <w:lang w:val="fr-FR"/>
        </w:rPr>
      </w:pPr>
      <w:r w:rsidRPr="001B5A51">
        <w:rPr>
          <w:rFonts w:ascii="Times New Roman" w:hAnsi="Times New Roman"/>
          <w:b/>
          <w:sz w:val="28"/>
          <w:lang w:val="fr-FR"/>
        </w:rPr>
        <w:t>Présentation du présent désaccord:</w:t>
      </w:r>
    </w:p>
    <w:p w:rsidR="00655C36" w:rsidRPr="001B5A51" w:rsidRDefault="007E0D9F" w:rsidP="003378C9">
      <w:pPr>
        <w:spacing w:before="120"/>
        <w:rPr>
          <w:rFonts w:ascii="Times New Roman" w:hAnsi="Times New Roman"/>
          <w:sz w:val="28"/>
          <w:lang w:val="fr-FR"/>
        </w:rPr>
      </w:pPr>
      <w:r w:rsidRPr="001B5A51">
        <w:rPr>
          <w:rFonts w:ascii="Times New Roman" w:hAnsi="Times New Roman"/>
          <w:sz w:val="28"/>
          <w:lang w:val="fr-FR"/>
        </w:rPr>
        <w:t>L</w:t>
      </w:r>
      <w:r w:rsidR="00655C36" w:rsidRPr="001B5A51">
        <w:rPr>
          <w:rFonts w:ascii="Times New Roman" w:hAnsi="Times New Roman"/>
          <w:sz w:val="28"/>
          <w:lang w:val="fr-FR"/>
        </w:rPr>
        <w:t xml:space="preserve">a </w:t>
      </w:r>
      <w:r w:rsidR="00821144" w:rsidRPr="001B5A51">
        <w:rPr>
          <w:rFonts w:ascii="Times New Roman" w:hAnsi="Times New Roman"/>
          <w:sz w:val="28"/>
          <w:lang w:val="fr-FR"/>
        </w:rPr>
        <w:t>décision « fichier anti terrorisme</w:t>
      </w:r>
      <w:r w:rsidR="00655C36" w:rsidRPr="001B5A51">
        <w:rPr>
          <w:rFonts w:ascii="Times New Roman" w:hAnsi="Times New Roman"/>
          <w:sz w:val="28"/>
          <w:lang w:val="fr-FR"/>
        </w:rPr>
        <w:t>» de la Cour constitutionnelle allemande du 24 avril 2013 réagissant vigoureusement à l’arrêt Åkerberg Fransson de la CJUE du 26 février 2013.</w:t>
      </w:r>
      <w:r w:rsidR="00430405" w:rsidRPr="001B5A51">
        <w:rPr>
          <w:rFonts w:ascii="Times New Roman" w:hAnsi="Times New Roman"/>
          <w:sz w:val="28"/>
          <w:lang w:val="fr-FR"/>
        </w:rPr>
        <w:t xml:space="preserve"> Dans lequel la CJUE a adopté une interprétation large du champ d’application de la Charte.</w:t>
      </w:r>
    </w:p>
    <w:p w:rsidR="002678D8" w:rsidRPr="001B5A51" w:rsidRDefault="002678D8" w:rsidP="003378C9">
      <w:pPr>
        <w:spacing w:before="120"/>
        <w:rPr>
          <w:rFonts w:ascii="Times New Roman" w:hAnsi="Times New Roman"/>
          <w:sz w:val="28"/>
          <w:lang w:val="fr-FR"/>
        </w:rPr>
      </w:pPr>
    </w:p>
    <w:p w:rsidR="007E0D9F" w:rsidRPr="001B5A51" w:rsidRDefault="002678D8" w:rsidP="003378C9">
      <w:pPr>
        <w:spacing w:before="120"/>
        <w:rPr>
          <w:rFonts w:ascii="Times New Roman" w:hAnsi="Times New Roman"/>
          <w:b/>
          <w:sz w:val="28"/>
          <w:lang w:val="fr-FR"/>
        </w:rPr>
      </w:pPr>
      <w:r w:rsidRPr="001B5A51">
        <w:rPr>
          <w:rFonts w:ascii="Times New Roman" w:hAnsi="Times New Roman"/>
          <w:b/>
          <w:sz w:val="28"/>
          <w:lang w:val="fr-FR"/>
        </w:rPr>
        <w:t xml:space="preserve">Désaccord qu’il faut placer dans </w:t>
      </w:r>
      <w:r w:rsidR="00A663B9" w:rsidRPr="001B5A51">
        <w:rPr>
          <w:rFonts w:ascii="Times New Roman" w:hAnsi="Times New Roman"/>
          <w:b/>
          <w:sz w:val="28"/>
          <w:lang w:val="fr-FR"/>
        </w:rPr>
        <w:t xml:space="preserve">son contexte </w:t>
      </w:r>
    </w:p>
    <w:p w:rsidR="00BD7112" w:rsidRPr="001B5A51" w:rsidRDefault="00BD7112" w:rsidP="003378C9">
      <w:pPr>
        <w:spacing w:before="120"/>
        <w:rPr>
          <w:rFonts w:ascii="Times New Roman" w:hAnsi="Times New Roman"/>
          <w:sz w:val="28"/>
          <w:lang w:val="fr-FR"/>
        </w:rPr>
      </w:pPr>
      <w:r w:rsidRPr="001B5A51">
        <w:rPr>
          <w:rFonts w:ascii="Times New Roman" w:hAnsi="Times New Roman"/>
          <w:sz w:val="28"/>
          <w:lang w:val="fr-FR"/>
        </w:rPr>
        <w:t xml:space="preserve">= </w:t>
      </w:r>
      <w:r w:rsidR="0031072C" w:rsidRPr="001B5A51">
        <w:rPr>
          <w:rFonts w:ascii="Times New Roman" w:hAnsi="Times New Roman"/>
          <w:sz w:val="28"/>
          <w:lang w:val="fr-FR"/>
        </w:rPr>
        <w:t xml:space="preserve">Un dialogue de deux cours constitutionnelles qui </w:t>
      </w:r>
      <w:r w:rsidRPr="001B5A51">
        <w:rPr>
          <w:rFonts w:ascii="Times New Roman" w:hAnsi="Times New Roman"/>
          <w:sz w:val="28"/>
          <w:lang w:val="fr-FR"/>
        </w:rPr>
        <w:t xml:space="preserve">sont situées au sommet </w:t>
      </w:r>
      <w:r w:rsidR="006F1515" w:rsidRPr="001B5A51">
        <w:rPr>
          <w:rFonts w:ascii="Times New Roman" w:hAnsi="Times New Roman"/>
          <w:sz w:val="28"/>
          <w:lang w:val="fr-FR"/>
        </w:rPr>
        <w:t xml:space="preserve">juridique </w:t>
      </w:r>
      <w:r w:rsidRPr="001B5A51">
        <w:rPr>
          <w:rFonts w:ascii="Times New Roman" w:hAnsi="Times New Roman"/>
          <w:sz w:val="28"/>
          <w:lang w:val="fr-FR"/>
        </w:rPr>
        <w:t>de deux fédérations</w:t>
      </w:r>
    </w:p>
    <w:p w:rsidR="006F1515" w:rsidRPr="001B5A51" w:rsidRDefault="009E7EB5" w:rsidP="003378C9">
      <w:pPr>
        <w:pStyle w:val="ListParagraph"/>
        <w:numPr>
          <w:ilvl w:val="0"/>
          <w:numId w:val="3"/>
        </w:numPr>
        <w:spacing w:before="120"/>
        <w:rPr>
          <w:rFonts w:ascii="Times New Roman" w:hAnsi="Times New Roman"/>
          <w:sz w:val="28"/>
          <w:lang w:val="fr-FR"/>
        </w:rPr>
      </w:pPr>
      <w:r w:rsidRPr="001B5A51">
        <w:rPr>
          <w:rFonts w:ascii="Times New Roman" w:hAnsi="Times New Roman"/>
          <w:sz w:val="28"/>
          <w:lang w:val="fr-FR"/>
        </w:rPr>
        <w:t xml:space="preserve">qui se ressemblent par leurs </w:t>
      </w:r>
      <w:r w:rsidR="008E4AC9" w:rsidRPr="001B5A51">
        <w:rPr>
          <w:rFonts w:ascii="Times New Roman" w:hAnsi="Times New Roman"/>
          <w:sz w:val="28"/>
          <w:lang w:val="fr-FR"/>
        </w:rPr>
        <w:t>âges crées en 1951 et 1952 /</w:t>
      </w:r>
      <w:r w:rsidR="007E0D9F" w:rsidRPr="001B5A51">
        <w:rPr>
          <w:rFonts w:ascii="Times New Roman" w:hAnsi="Times New Roman"/>
          <w:sz w:val="28"/>
          <w:lang w:val="fr-FR"/>
        </w:rPr>
        <w:t xml:space="preserve"> </w:t>
      </w:r>
      <w:r w:rsidRPr="001B5A51">
        <w:rPr>
          <w:rFonts w:ascii="Times New Roman" w:hAnsi="Times New Roman"/>
          <w:sz w:val="28"/>
          <w:lang w:val="fr-FR"/>
        </w:rPr>
        <w:t>missions / compétences / composition / légitimité</w:t>
      </w:r>
      <w:r w:rsidR="006F1515" w:rsidRPr="001B5A51">
        <w:rPr>
          <w:rFonts w:ascii="Times New Roman" w:hAnsi="Times New Roman"/>
          <w:sz w:val="28"/>
          <w:lang w:val="fr-FR"/>
        </w:rPr>
        <w:t xml:space="preserve"> et leurs méthodes d’interprétation</w:t>
      </w:r>
    </w:p>
    <w:p w:rsidR="009E7EB5" w:rsidRPr="001B5A51" w:rsidRDefault="009E7EB5" w:rsidP="006F1515">
      <w:pPr>
        <w:pStyle w:val="ListParagraph"/>
        <w:spacing w:before="120"/>
        <w:rPr>
          <w:rFonts w:ascii="Times New Roman" w:hAnsi="Times New Roman"/>
          <w:sz w:val="28"/>
          <w:lang w:val="fr-FR"/>
        </w:rPr>
      </w:pPr>
    </w:p>
    <w:p w:rsidR="002678D8" w:rsidRPr="001B5A51" w:rsidRDefault="009E7EB5" w:rsidP="003378C9">
      <w:pPr>
        <w:pStyle w:val="ListParagraph"/>
        <w:numPr>
          <w:ilvl w:val="0"/>
          <w:numId w:val="3"/>
        </w:numPr>
        <w:spacing w:before="120"/>
        <w:rPr>
          <w:rFonts w:ascii="Times New Roman" w:hAnsi="Times New Roman"/>
          <w:sz w:val="28"/>
          <w:lang w:val="fr-FR"/>
        </w:rPr>
      </w:pPr>
      <w:r w:rsidRPr="001B5A51">
        <w:rPr>
          <w:rFonts w:ascii="Times New Roman" w:hAnsi="Times New Roman"/>
          <w:sz w:val="28"/>
          <w:lang w:val="fr-FR"/>
        </w:rPr>
        <w:t>qui ont deux perspectives différentes : la CJUE une perspective européenne (une Union avec le TUE s’appliquant à ses 28 Etats membres), le BVerfG une perspective allemande (Grundgesetz)</w:t>
      </w:r>
      <w:r w:rsidR="006F1515" w:rsidRPr="001B5A51">
        <w:rPr>
          <w:rFonts w:ascii="Times New Roman" w:hAnsi="Times New Roman"/>
          <w:sz w:val="28"/>
          <w:lang w:val="fr-FR"/>
        </w:rPr>
        <w:t xml:space="preserve"> mais </w:t>
      </w:r>
      <w:r w:rsidR="007E0D9F" w:rsidRPr="001B5A51">
        <w:rPr>
          <w:rFonts w:ascii="Times New Roman" w:hAnsi="Times New Roman"/>
          <w:sz w:val="28"/>
          <w:lang w:val="fr-FR"/>
        </w:rPr>
        <w:t>europafreundlich comme il ne cesse de le rappeler.</w:t>
      </w:r>
    </w:p>
    <w:p w:rsidR="00A663B9" w:rsidRPr="001B5A51" w:rsidRDefault="00A663B9" w:rsidP="003378C9">
      <w:pPr>
        <w:spacing w:before="120"/>
        <w:rPr>
          <w:rFonts w:ascii="Times New Roman" w:hAnsi="Times New Roman"/>
          <w:sz w:val="28"/>
          <w:lang w:val="fr-FR"/>
        </w:rPr>
      </w:pPr>
    </w:p>
    <w:p w:rsidR="00A668D9" w:rsidRPr="001B5A51" w:rsidRDefault="00A663B9" w:rsidP="003378C9">
      <w:pPr>
        <w:spacing w:before="120"/>
        <w:rPr>
          <w:rFonts w:ascii="Times New Roman" w:hAnsi="Times New Roman"/>
          <w:sz w:val="28"/>
          <w:lang w:val="fr-FR"/>
        </w:rPr>
      </w:pPr>
      <w:r w:rsidRPr="001B5A51">
        <w:rPr>
          <w:rFonts w:ascii="Times New Roman" w:hAnsi="Times New Roman"/>
          <w:sz w:val="28"/>
          <w:lang w:val="fr-FR"/>
        </w:rPr>
        <w:t xml:space="preserve">= Un dialogue </w:t>
      </w:r>
      <w:r w:rsidR="00941FCC" w:rsidRPr="001B5A51">
        <w:rPr>
          <w:rFonts w:ascii="Times New Roman" w:hAnsi="Times New Roman"/>
          <w:sz w:val="28"/>
          <w:lang w:val="fr-FR"/>
        </w:rPr>
        <w:t xml:space="preserve">qui dure depuis bientôt 40 ans et a connu de nombreux </w:t>
      </w:r>
      <w:r w:rsidR="006F1515" w:rsidRPr="001B5A51">
        <w:rPr>
          <w:rFonts w:ascii="Times New Roman" w:hAnsi="Times New Roman"/>
          <w:sz w:val="28"/>
          <w:lang w:val="fr-FR"/>
        </w:rPr>
        <w:t xml:space="preserve">épisodes </w:t>
      </w:r>
    </w:p>
    <w:p w:rsidR="00941FCC" w:rsidRPr="001B5A51" w:rsidRDefault="006F1515" w:rsidP="00A668D9">
      <w:pPr>
        <w:spacing w:before="120"/>
        <w:ind w:left="720"/>
        <w:rPr>
          <w:rFonts w:ascii="Times New Roman" w:hAnsi="Times New Roman"/>
          <w:sz w:val="28"/>
          <w:lang w:val="fr-FR"/>
        </w:rPr>
      </w:pPr>
      <w:r w:rsidRPr="001B5A51">
        <w:rPr>
          <w:rFonts w:ascii="Times New Roman" w:hAnsi="Times New Roman"/>
          <w:sz w:val="28"/>
          <w:lang w:val="fr-FR"/>
        </w:rPr>
        <w:t>(un peu Da</w:t>
      </w:r>
      <w:r w:rsidR="00B55F0E" w:rsidRPr="001B5A51">
        <w:rPr>
          <w:rFonts w:ascii="Times New Roman" w:hAnsi="Times New Roman"/>
          <w:sz w:val="28"/>
          <w:lang w:val="fr-FR"/>
        </w:rPr>
        <w:t xml:space="preserve">ns la guerre des étoiles de George Lucas avec des épisodes au nom de « L’empire contre attaque «  </w:t>
      </w:r>
      <w:r w:rsidR="00A668D9" w:rsidRPr="001B5A51">
        <w:rPr>
          <w:rFonts w:ascii="Times New Roman" w:hAnsi="Times New Roman"/>
          <w:sz w:val="28"/>
          <w:lang w:val="fr-FR"/>
        </w:rPr>
        <w:t xml:space="preserve">ou </w:t>
      </w:r>
      <w:r w:rsidR="00B55F0E" w:rsidRPr="001B5A51">
        <w:rPr>
          <w:rFonts w:ascii="Times New Roman" w:hAnsi="Times New Roman"/>
          <w:sz w:val="28"/>
          <w:lang w:val="fr-FR"/>
        </w:rPr>
        <w:t>« Le retour du Jedi »)</w:t>
      </w:r>
    </w:p>
    <w:p w:rsidR="00A668D9" w:rsidRPr="001B5A51" w:rsidRDefault="00A668D9" w:rsidP="00A668D9">
      <w:pPr>
        <w:spacing w:before="120"/>
        <w:ind w:left="720"/>
        <w:rPr>
          <w:rFonts w:ascii="Times New Roman" w:hAnsi="Times New Roman"/>
          <w:sz w:val="28"/>
          <w:lang w:val="fr-FR"/>
        </w:rPr>
      </w:pPr>
    </w:p>
    <w:p w:rsidR="00A668D9" w:rsidRPr="001B5A51" w:rsidRDefault="00662026" w:rsidP="00A668D9">
      <w:pPr>
        <w:spacing w:before="120"/>
        <w:ind w:left="720"/>
        <w:rPr>
          <w:rFonts w:ascii="Times New Roman" w:hAnsi="Times New Roman"/>
          <w:sz w:val="28"/>
          <w:lang w:val="fr-FR"/>
        </w:rPr>
      </w:pPr>
      <w:r>
        <w:rPr>
          <w:rFonts w:ascii="Times New Roman" w:hAnsi="Times New Roman"/>
          <w:sz w:val="28"/>
          <w:lang w:val="fr-FR"/>
        </w:rPr>
        <w:t>On peut parier</w:t>
      </w:r>
      <w:r w:rsidR="00A668D9" w:rsidRPr="001B5A51">
        <w:rPr>
          <w:rFonts w:ascii="Times New Roman" w:hAnsi="Times New Roman"/>
          <w:sz w:val="28"/>
          <w:lang w:val="fr-FR"/>
        </w:rPr>
        <w:t xml:space="preserve"> le BVerfG se </w:t>
      </w:r>
      <w:r>
        <w:rPr>
          <w:rFonts w:ascii="Times New Roman" w:hAnsi="Times New Roman"/>
          <w:sz w:val="28"/>
          <w:lang w:val="fr-FR"/>
        </w:rPr>
        <w:t xml:space="preserve">verrait de préférence </w:t>
      </w:r>
      <w:r w:rsidR="00A668D9" w:rsidRPr="001B5A51">
        <w:rPr>
          <w:rFonts w:ascii="Times New Roman" w:hAnsi="Times New Roman"/>
          <w:sz w:val="28"/>
          <w:lang w:val="fr-FR"/>
        </w:rPr>
        <w:t xml:space="preserve">dans le rôle du « bon » </w:t>
      </w:r>
      <w:r>
        <w:rPr>
          <w:rFonts w:ascii="Times New Roman" w:hAnsi="Times New Roman"/>
          <w:sz w:val="28"/>
          <w:lang w:val="fr-FR"/>
        </w:rPr>
        <w:t xml:space="preserve">chevalier </w:t>
      </w:r>
      <w:r w:rsidR="00A668D9" w:rsidRPr="001B5A51">
        <w:rPr>
          <w:rFonts w:ascii="Times New Roman" w:hAnsi="Times New Roman"/>
          <w:sz w:val="28"/>
          <w:lang w:val="fr-FR"/>
        </w:rPr>
        <w:t>Jedi devant rep</w:t>
      </w:r>
      <w:r>
        <w:rPr>
          <w:rFonts w:ascii="Times New Roman" w:hAnsi="Times New Roman"/>
          <w:sz w:val="28"/>
          <w:lang w:val="fr-FR"/>
        </w:rPr>
        <w:t>ousser les attaques du « boulimique</w:t>
      </w:r>
      <w:r w:rsidR="00A668D9" w:rsidRPr="001B5A51">
        <w:rPr>
          <w:rFonts w:ascii="Times New Roman" w:hAnsi="Times New Roman"/>
          <w:sz w:val="28"/>
          <w:lang w:val="fr-FR"/>
        </w:rPr>
        <w:t> » empire européen.</w:t>
      </w:r>
    </w:p>
    <w:p w:rsidR="00941FCC" w:rsidRPr="001B5A51" w:rsidRDefault="00941FCC" w:rsidP="003378C9">
      <w:pPr>
        <w:spacing w:before="120"/>
        <w:rPr>
          <w:rFonts w:ascii="Times New Roman" w:hAnsi="Times New Roman"/>
          <w:sz w:val="28"/>
          <w:lang w:val="fr-FR"/>
        </w:rPr>
      </w:pPr>
    </w:p>
    <w:p w:rsidR="00BD7112" w:rsidRPr="00174060" w:rsidRDefault="00F83C71" w:rsidP="00174060">
      <w:pPr>
        <w:spacing w:before="120"/>
        <w:rPr>
          <w:rFonts w:ascii="Times New Roman" w:hAnsi="Times New Roman"/>
          <w:b/>
          <w:sz w:val="28"/>
          <w:lang w:val="fr-FR"/>
        </w:rPr>
      </w:pPr>
      <w:r w:rsidRPr="001B5A51">
        <w:rPr>
          <w:rFonts w:ascii="Times New Roman" w:hAnsi="Times New Roman"/>
          <w:b/>
          <w:sz w:val="28"/>
          <w:lang w:val="fr-FR"/>
        </w:rPr>
        <w:t>Objet / Modalités</w:t>
      </w:r>
      <w:r w:rsidR="006F1515" w:rsidRPr="001B5A51">
        <w:rPr>
          <w:rFonts w:ascii="Times New Roman" w:hAnsi="Times New Roman"/>
          <w:b/>
          <w:sz w:val="28"/>
          <w:lang w:val="fr-FR"/>
        </w:rPr>
        <w:t xml:space="preserve">  </w:t>
      </w:r>
      <w:r w:rsidR="006F1515" w:rsidRPr="001B5A51">
        <w:rPr>
          <w:rFonts w:ascii="Times New Roman" w:hAnsi="Times New Roman"/>
          <w:sz w:val="28"/>
          <w:lang w:val="fr-FR"/>
        </w:rPr>
        <w:t>de l’épisode le plus récent</w:t>
      </w:r>
    </w:p>
    <w:p w:rsidR="00281340" w:rsidRPr="001B5A51" w:rsidRDefault="00281340">
      <w:pPr>
        <w:rPr>
          <w:rFonts w:ascii="Times New Roman" w:hAnsi="Times New Roman"/>
          <w:b/>
          <w:bCs/>
          <w:i/>
          <w:iCs/>
          <w:sz w:val="28"/>
          <w:lang w:val="fr-FR"/>
        </w:rPr>
      </w:pPr>
      <w:r w:rsidRPr="001B5A51">
        <w:rPr>
          <w:rFonts w:ascii="Times New Roman" w:hAnsi="Times New Roman"/>
          <w:lang w:val="fr-FR"/>
        </w:rPr>
        <w:br w:type="page"/>
      </w:r>
    </w:p>
    <w:p w:rsidR="00F83C71" w:rsidRPr="001B5A51" w:rsidRDefault="00574F17" w:rsidP="003378C9">
      <w:pPr>
        <w:pStyle w:val="Heading2"/>
        <w:numPr>
          <w:ilvl w:val="0"/>
          <w:numId w:val="2"/>
        </w:numPr>
        <w:spacing w:before="120"/>
        <w:rPr>
          <w:rFonts w:ascii="Times New Roman" w:hAnsi="Times New Roman" w:cs="Times New Roman"/>
          <w:sz w:val="32"/>
          <w:szCs w:val="24"/>
          <w:lang w:val="fr-FR"/>
        </w:rPr>
      </w:pPr>
      <w:r w:rsidRPr="001B5A51">
        <w:rPr>
          <w:rFonts w:ascii="Times New Roman" w:hAnsi="Times New Roman" w:cs="Times New Roman"/>
          <w:sz w:val="32"/>
          <w:szCs w:val="24"/>
          <w:lang w:val="fr-FR"/>
        </w:rPr>
        <w:t>L’objet du dialogue</w:t>
      </w:r>
    </w:p>
    <w:p w:rsidR="00F83C71" w:rsidRPr="001B5A51" w:rsidRDefault="00F83C71" w:rsidP="00F83C71">
      <w:pPr>
        <w:rPr>
          <w:rFonts w:ascii="Times New Roman" w:hAnsi="Times New Roman"/>
          <w:lang w:val="fr-FR"/>
        </w:rPr>
      </w:pPr>
    </w:p>
    <w:p w:rsidR="00574F17" w:rsidRPr="001B5A51" w:rsidRDefault="00F83C71" w:rsidP="00F83C71">
      <w:pPr>
        <w:rPr>
          <w:rFonts w:ascii="Times New Roman" w:hAnsi="Times New Roman"/>
          <w:lang w:val="fr-FR"/>
        </w:rPr>
      </w:pPr>
      <w:r w:rsidRPr="001B5A51">
        <w:rPr>
          <w:rFonts w:ascii="Times New Roman" w:hAnsi="Times New Roman"/>
          <w:lang w:val="fr-FR"/>
        </w:rPr>
        <w:t>Passé /actuel</w:t>
      </w:r>
    </w:p>
    <w:p w:rsidR="00574F17" w:rsidRPr="001B5A51" w:rsidRDefault="00574F17" w:rsidP="003378C9">
      <w:pPr>
        <w:pStyle w:val="Heading3"/>
        <w:numPr>
          <w:ilvl w:val="1"/>
          <w:numId w:val="2"/>
        </w:numPr>
        <w:spacing w:before="120"/>
        <w:rPr>
          <w:rFonts w:ascii="Times New Roman" w:hAnsi="Times New Roman" w:cs="Times New Roman"/>
          <w:sz w:val="28"/>
          <w:szCs w:val="24"/>
          <w:lang w:val="fr-FR"/>
        </w:rPr>
      </w:pPr>
      <w:r w:rsidRPr="001B5A51">
        <w:rPr>
          <w:rFonts w:ascii="Times New Roman" w:hAnsi="Times New Roman" w:cs="Times New Roman"/>
          <w:sz w:val="28"/>
          <w:szCs w:val="24"/>
          <w:lang w:val="fr-FR"/>
        </w:rPr>
        <w:t>Le dialogue passé : la définition progressive du rôle supplétif de la Cour constitutionnelle en matière de protection des droits fondamentaux à l’encontre des actes de droit communautaire dérivé</w:t>
      </w:r>
    </w:p>
    <w:p w:rsidR="00F83C71" w:rsidRPr="001B5A51" w:rsidRDefault="00F83C71" w:rsidP="003378C9">
      <w:pPr>
        <w:spacing w:before="120"/>
        <w:rPr>
          <w:rFonts w:ascii="Times New Roman" w:hAnsi="Times New Roman"/>
          <w:sz w:val="28"/>
          <w:lang w:val="fr-FR"/>
        </w:rPr>
      </w:pPr>
    </w:p>
    <w:p w:rsidR="00574F17" w:rsidRPr="001B5A51" w:rsidRDefault="00C955A6" w:rsidP="003378C9">
      <w:pPr>
        <w:spacing w:before="120"/>
        <w:rPr>
          <w:rFonts w:ascii="Times New Roman" w:hAnsi="Times New Roman"/>
          <w:sz w:val="28"/>
          <w:lang w:val="fr-FR"/>
        </w:rPr>
      </w:pPr>
      <w:r w:rsidRPr="001B5A51">
        <w:rPr>
          <w:rFonts w:ascii="Times New Roman" w:hAnsi="Times New Roman"/>
          <w:sz w:val="28"/>
          <w:lang w:val="fr-FR"/>
        </w:rPr>
        <w:t xml:space="preserve">ENJEU : </w:t>
      </w:r>
      <w:r w:rsidR="00A663B9" w:rsidRPr="001B5A51">
        <w:rPr>
          <w:rFonts w:ascii="Times New Roman" w:hAnsi="Times New Roman"/>
          <w:sz w:val="28"/>
          <w:lang w:val="fr-FR"/>
        </w:rPr>
        <w:t xml:space="preserve">Comment </w:t>
      </w:r>
      <w:r w:rsidRPr="001B5A51">
        <w:rPr>
          <w:rFonts w:ascii="Times New Roman" w:hAnsi="Times New Roman"/>
          <w:sz w:val="28"/>
          <w:lang w:val="fr-FR"/>
        </w:rPr>
        <w:t>assurer une protection des droits fondamentaux à l’encontre des actes adoptés par les institutions communautaires.</w:t>
      </w:r>
    </w:p>
    <w:p w:rsidR="00E149A1" w:rsidRPr="001B5A51" w:rsidRDefault="00574F17" w:rsidP="003378C9">
      <w:pPr>
        <w:spacing w:before="120"/>
        <w:rPr>
          <w:rFonts w:ascii="Times New Roman" w:hAnsi="Times New Roman"/>
          <w:sz w:val="28"/>
          <w:lang w:val="fr-FR"/>
        </w:rPr>
      </w:pPr>
      <w:r w:rsidRPr="001B5A51">
        <w:rPr>
          <w:rFonts w:ascii="Times New Roman" w:hAnsi="Times New Roman"/>
          <w:sz w:val="28"/>
          <w:lang w:val="fr-FR"/>
        </w:rPr>
        <w:t xml:space="preserve">La pression exercée </w:t>
      </w:r>
      <w:r w:rsidR="00E149A1" w:rsidRPr="001B5A51">
        <w:rPr>
          <w:rFonts w:ascii="Times New Roman" w:hAnsi="Times New Roman"/>
          <w:sz w:val="28"/>
          <w:lang w:val="fr-FR"/>
        </w:rPr>
        <w:t xml:space="preserve">initialement </w:t>
      </w:r>
      <w:r w:rsidRPr="001B5A51">
        <w:rPr>
          <w:rFonts w:ascii="Times New Roman" w:hAnsi="Times New Roman"/>
          <w:sz w:val="28"/>
          <w:lang w:val="fr-FR"/>
        </w:rPr>
        <w:t>par le BverfG</w:t>
      </w:r>
      <w:r w:rsidR="00E434B8" w:rsidRPr="001B5A51">
        <w:rPr>
          <w:rFonts w:ascii="Times New Roman" w:hAnsi="Times New Roman"/>
          <w:sz w:val="28"/>
          <w:lang w:val="fr-FR"/>
        </w:rPr>
        <w:t xml:space="preserve">, </w:t>
      </w:r>
      <w:r w:rsidR="00C955A6" w:rsidRPr="001B5A51">
        <w:rPr>
          <w:rFonts w:ascii="Times New Roman" w:hAnsi="Times New Roman"/>
          <w:sz w:val="28"/>
          <w:lang w:val="fr-FR"/>
        </w:rPr>
        <w:t xml:space="preserve"> = </w:t>
      </w:r>
      <w:r w:rsidR="00E434B8" w:rsidRPr="001B5A51">
        <w:rPr>
          <w:rFonts w:ascii="Times New Roman" w:hAnsi="Times New Roman"/>
          <w:sz w:val="28"/>
          <w:lang w:val="fr-FR"/>
        </w:rPr>
        <w:t>un défi lancé à la Cour de justice</w:t>
      </w:r>
      <w:r w:rsidR="00174060">
        <w:rPr>
          <w:rFonts w:ascii="Times New Roman" w:hAnsi="Times New Roman"/>
          <w:sz w:val="28"/>
          <w:lang w:val="fr-FR"/>
        </w:rPr>
        <w:t xml:space="preserve"> qui va le relever </w:t>
      </w:r>
      <w:r w:rsidR="00A668D9" w:rsidRPr="001B5A51">
        <w:rPr>
          <w:rFonts w:ascii="Times New Roman" w:hAnsi="Times New Roman"/>
          <w:sz w:val="28"/>
          <w:lang w:val="fr-FR"/>
        </w:rPr>
        <w:t>(le vaillant chevalier Jedi qui défie l’empire)</w:t>
      </w:r>
    </w:p>
    <w:p w:rsidR="00C567B8" w:rsidRPr="001B5A51" w:rsidRDefault="00C567B8" w:rsidP="003378C9">
      <w:pPr>
        <w:spacing w:before="120"/>
        <w:rPr>
          <w:rFonts w:ascii="Times New Roman" w:hAnsi="Times New Roman"/>
          <w:sz w:val="28"/>
          <w:lang w:val="fr-FR"/>
        </w:rPr>
      </w:pPr>
    </w:p>
    <w:p w:rsidR="00574F17" w:rsidRPr="001B5A51" w:rsidRDefault="00574F17" w:rsidP="003378C9">
      <w:pPr>
        <w:pStyle w:val="Heading4"/>
        <w:spacing w:before="120"/>
        <w:rPr>
          <w:szCs w:val="24"/>
          <w:lang w:val="fr-FR"/>
        </w:rPr>
      </w:pPr>
      <w:r w:rsidRPr="001B5A51">
        <w:rPr>
          <w:szCs w:val="24"/>
          <w:lang w:val="fr-FR"/>
        </w:rPr>
        <w:t xml:space="preserve">Solange I, </w:t>
      </w:r>
      <w:r w:rsidRPr="001B5A51">
        <w:rPr>
          <w:b w:val="0"/>
          <w:szCs w:val="24"/>
          <w:lang w:val="fr-FR"/>
        </w:rPr>
        <w:t>arrêt du 29 mai 1974, 2 BvL 52/71, (BVerfGE 37, 271)</w:t>
      </w:r>
    </w:p>
    <w:p w:rsidR="0023105B" w:rsidRPr="001B5A51" w:rsidRDefault="001857A6" w:rsidP="003378C9">
      <w:pPr>
        <w:spacing w:before="120"/>
        <w:ind w:left="720"/>
        <w:rPr>
          <w:rFonts w:ascii="Times New Roman" w:hAnsi="Times New Roman"/>
          <w:sz w:val="28"/>
          <w:szCs w:val="11"/>
          <w:lang w:val="fr-FR"/>
        </w:rPr>
      </w:pPr>
      <w:r w:rsidRPr="001B5A51">
        <w:rPr>
          <w:rFonts w:ascii="Times New Roman" w:hAnsi="Times New Roman"/>
          <w:sz w:val="28"/>
          <w:lang w:val="fr-FR"/>
        </w:rPr>
        <w:t xml:space="preserve">« Aussi longtemps que </w:t>
      </w:r>
      <w:r w:rsidR="0096692A" w:rsidRPr="001B5A51">
        <w:rPr>
          <w:rFonts w:ascii="Times New Roman" w:hAnsi="Times New Roman"/>
          <w:sz w:val="28"/>
          <w:lang w:val="fr-FR"/>
        </w:rPr>
        <w:t>le</w:t>
      </w:r>
      <w:r w:rsidR="0096692A" w:rsidRPr="001B5A51">
        <w:rPr>
          <w:rFonts w:ascii="Times New Roman" w:hAnsi="Times New Roman"/>
          <w:sz w:val="28"/>
          <w:szCs w:val="11"/>
          <w:lang w:val="fr-FR"/>
        </w:rPr>
        <w:t xml:space="preserve"> processus d’intégration de la Communauté n’est avancée au point  que le droit communautaire contient également un catalogue de droits fondamentaux adopté par un parlement</w:t>
      </w:r>
      <w:r w:rsidR="0023105B" w:rsidRPr="001B5A51">
        <w:rPr>
          <w:rFonts w:ascii="Times New Roman" w:hAnsi="Times New Roman"/>
          <w:sz w:val="28"/>
          <w:szCs w:val="11"/>
          <w:lang w:val="fr-FR"/>
        </w:rPr>
        <w:t>,</w:t>
      </w:r>
      <w:r w:rsidR="0096692A" w:rsidRPr="001B5A51">
        <w:rPr>
          <w:rFonts w:ascii="Times New Roman" w:hAnsi="Times New Roman"/>
          <w:sz w:val="28"/>
          <w:szCs w:val="11"/>
          <w:lang w:val="fr-FR"/>
        </w:rPr>
        <w:t xml:space="preserve"> mis en vigueur et correspondant à</w:t>
      </w:r>
      <w:r w:rsidR="0023105B" w:rsidRPr="001B5A51">
        <w:rPr>
          <w:rFonts w:ascii="Times New Roman" w:hAnsi="Times New Roman"/>
          <w:sz w:val="28"/>
          <w:szCs w:val="11"/>
          <w:lang w:val="fr-FR"/>
        </w:rPr>
        <w:t xml:space="preserve"> celui de la Loi fondamentale »</w:t>
      </w:r>
    </w:p>
    <w:p w:rsidR="0096692A" w:rsidRPr="001B5A51" w:rsidRDefault="0023105B" w:rsidP="003378C9">
      <w:pPr>
        <w:spacing w:before="120"/>
        <w:ind w:left="720"/>
        <w:rPr>
          <w:rFonts w:ascii="Times New Roman" w:hAnsi="Times New Roman"/>
          <w:sz w:val="28"/>
          <w:szCs w:val="11"/>
          <w:lang w:val="fr-FR"/>
        </w:rPr>
      </w:pPr>
      <w:r w:rsidRPr="001B5A51">
        <w:rPr>
          <w:rFonts w:ascii="Times New Roman" w:hAnsi="Times New Roman"/>
          <w:sz w:val="28"/>
          <w:szCs w:val="11"/>
          <w:lang w:val="fr-FR"/>
        </w:rPr>
        <w:t xml:space="preserve">La Cour estime recevable et </w:t>
      </w:r>
      <w:r w:rsidR="00055E11" w:rsidRPr="001B5A51">
        <w:rPr>
          <w:rFonts w:ascii="Times New Roman" w:hAnsi="Times New Roman"/>
          <w:sz w:val="28"/>
          <w:szCs w:val="11"/>
          <w:lang w:val="fr-FR"/>
        </w:rPr>
        <w:t xml:space="preserve">même obligatoire les </w:t>
      </w:r>
      <w:r w:rsidR="0096692A" w:rsidRPr="001B5A51">
        <w:rPr>
          <w:rFonts w:ascii="Times New Roman" w:hAnsi="Times New Roman"/>
          <w:sz w:val="28"/>
          <w:szCs w:val="11"/>
          <w:lang w:val="fr-FR"/>
        </w:rPr>
        <w:t>question</w:t>
      </w:r>
      <w:r w:rsidR="00055E11" w:rsidRPr="001B5A51">
        <w:rPr>
          <w:rFonts w:ascii="Times New Roman" w:hAnsi="Times New Roman"/>
          <w:sz w:val="28"/>
          <w:szCs w:val="11"/>
          <w:lang w:val="fr-FR"/>
        </w:rPr>
        <w:t>s</w:t>
      </w:r>
      <w:r w:rsidR="0096692A" w:rsidRPr="001B5A51">
        <w:rPr>
          <w:rFonts w:ascii="Times New Roman" w:hAnsi="Times New Roman"/>
          <w:sz w:val="28"/>
          <w:szCs w:val="11"/>
          <w:lang w:val="fr-FR"/>
        </w:rPr>
        <w:t xml:space="preserve"> préjudicielle</w:t>
      </w:r>
      <w:r w:rsidR="00055E11" w:rsidRPr="001B5A51">
        <w:rPr>
          <w:rFonts w:ascii="Times New Roman" w:hAnsi="Times New Roman"/>
          <w:sz w:val="28"/>
          <w:szCs w:val="11"/>
          <w:lang w:val="fr-FR"/>
        </w:rPr>
        <w:t>s</w:t>
      </w:r>
      <w:r w:rsidR="0096692A" w:rsidRPr="001B5A51">
        <w:rPr>
          <w:rFonts w:ascii="Times New Roman" w:hAnsi="Times New Roman"/>
          <w:sz w:val="28"/>
          <w:szCs w:val="11"/>
          <w:lang w:val="fr-FR"/>
        </w:rPr>
        <w:t xml:space="preserve"> soumise</w:t>
      </w:r>
      <w:r w:rsidR="00055E11" w:rsidRPr="001B5A51">
        <w:rPr>
          <w:rFonts w:ascii="Times New Roman" w:hAnsi="Times New Roman"/>
          <w:sz w:val="28"/>
          <w:szCs w:val="11"/>
          <w:lang w:val="fr-FR"/>
        </w:rPr>
        <w:t>s</w:t>
      </w:r>
      <w:r w:rsidRPr="001B5A51">
        <w:rPr>
          <w:rFonts w:ascii="Times New Roman" w:hAnsi="Times New Roman"/>
          <w:sz w:val="28"/>
          <w:szCs w:val="11"/>
          <w:lang w:val="fr-FR"/>
        </w:rPr>
        <w:t xml:space="preserve"> </w:t>
      </w:r>
      <w:r w:rsidR="00055E11" w:rsidRPr="001B5A51">
        <w:rPr>
          <w:rFonts w:ascii="Times New Roman" w:hAnsi="Times New Roman"/>
          <w:sz w:val="28"/>
          <w:szCs w:val="11"/>
          <w:lang w:val="fr-FR"/>
        </w:rPr>
        <w:t>à elle</w:t>
      </w:r>
      <w:r w:rsidR="0096692A" w:rsidRPr="001B5A51">
        <w:rPr>
          <w:rFonts w:ascii="Times New Roman" w:hAnsi="Times New Roman"/>
          <w:sz w:val="28"/>
          <w:szCs w:val="11"/>
          <w:lang w:val="fr-FR"/>
        </w:rPr>
        <w:t>, dans le cadre du contrôle de constitutionnalité des</w:t>
      </w:r>
      <w:r w:rsidRPr="001B5A51">
        <w:rPr>
          <w:rFonts w:ascii="Times New Roman" w:hAnsi="Times New Roman"/>
          <w:sz w:val="28"/>
          <w:szCs w:val="11"/>
          <w:lang w:val="fr-FR"/>
        </w:rPr>
        <w:t xml:space="preserve"> </w:t>
      </w:r>
      <w:r w:rsidR="0096692A" w:rsidRPr="001B5A51">
        <w:rPr>
          <w:rFonts w:ascii="Times New Roman" w:hAnsi="Times New Roman"/>
          <w:sz w:val="28"/>
          <w:szCs w:val="11"/>
          <w:lang w:val="fr-FR"/>
        </w:rPr>
        <w:t>normes, par toute juridiction de la République fédérale d’Allemagne qui aura obtenu</w:t>
      </w:r>
      <w:r w:rsidRPr="001B5A51">
        <w:rPr>
          <w:rFonts w:ascii="Times New Roman" w:hAnsi="Times New Roman"/>
          <w:sz w:val="28"/>
          <w:szCs w:val="11"/>
          <w:lang w:val="fr-FR"/>
        </w:rPr>
        <w:t xml:space="preserve"> </w:t>
      </w:r>
      <w:r w:rsidR="0096692A" w:rsidRPr="001B5A51">
        <w:rPr>
          <w:rFonts w:ascii="Times New Roman" w:hAnsi="Times New Roman"/>
          <w:sz w:val="28"/>
          <w:szCs w:val="11"/>
          <w:lang w:val="fr-FR"/>
        </w:rPr>
        <w:t>au préalable, de la Cour de justice, la décision requise par l’ancien article 177 du</w:t>
      </w:r>
      <w:r w:rsidRPr="001B5A51">
        <w:rPr>
          <w:rFonts w:ascii="Times New Roman" w:hAnsi="Times New Roman"/>
          <w:sz w:val="28"/>
          <w:szCs w:val="11"/>
          <w:lang w:val="fr-FR"/>
        </w:rPr>
        <w:t xml:space="preserve"> </w:t>
      </w:r>
      <w:r w:rsidR="0096692A" w:rsidRPr="001B5A51">
        <w:rPr>
          <w:rFonts w:ascii="Times New Roman" w:hAnsi="Times New Roman"/>
          <w:sz w:val="28"/>
          <w:szCs w:val="11"/>
          <w:lang w:val="fr-FR"/>
        </w:rPr>
        <w:t>Traité CEE, dans les cas où cette juridiction estimera inapplicable la disposition pertinente du droit communautaire, dans son interprétation par la Cour de justice, dans la mesure où cette disposition se heurte à un droit de la</w:t>
      </w:r>
      <w:r w:rsidRPr="001B5A51">
        <w:rPr>
          <w:rFonts w:ascii="Times New Roman" w:hAnsi="Times New Roman"/>
          <w:sz w:val="28"/>
          <w:szCs w:val="11"/>
          <w:lang w:val="fr-FR"/>
        </w:rPr>
        <w:t xml:space="preserve"> </w:t>
      </w:r>
      <w:r w:rsidR="0096692A" w:rsidRPr="001B5A51">
        <w:rPr>
          <w:rFonts w:ascii="Times New Roman" w:hAnsi="Times New Roman"/>
          <w:sz w:val="28"/>
          <w:szCs w:val="11"/>
          <w:lang w:val="fr-FR"/>
        </w:rPr>
        <w:t>Loi fondamentale</w:t>
      </w:r>
      <w:r w:rsidR="00055E11" w:rsidRPr="001B5A51">
        <w:rPr>
          <w:rFonts w:ascii="Times New Roman" w:hAnsi="Times New Roman"/>
          <w:sz w:val="28"/>
          <w:szCs w:val="11"/>
          <w:lang w:val="fr-FR"/>
        </w:rPr>
        <w:t>.</w:t>
      </w:r>
    </w:p>
    <w:p w:rsidR="00574F17" w:rsidRPr="001B5A51" w:rsidRDefault="00574F17" w:rsidP="003378C9">
      <w:pPr>
        <w:pStyle w:val="ListParagraph"/>
        <w:spacing w:before="120"/>
        <w:rPr>
          <w:rFonts w:ascii="Times New Roman" w:hAnsi="Times New Roman"/>
          <w:sz w:val="28"/>
          <w:lang w:val="fr-FR"/>
        </w:rPr>
      </w:pPr>
    </w:p>
    <w:p w:rsidR="00574F17" w:rsidRPr="001B5A51" w:rsidRDefault="00574F17" w:rsidP="003378C9">
      <w:pPr>
        <w:pStyle w:val="Heading4"/>
        <w:spacing w:before="120"/>
        <w:rPr>
          <w:szCs w:val="24"/>
          <w:lang w:val="fr-FR"/>
        </w:rPr>
      </w:pPr>
      <w:r w:rsidRPr="001B5A51">
        <w:rPr>
          <w:szCs w:val="24"/>
          <w:lang w:val="fr-FR"/>
        </w:rPr>
        <w:t xml:space="preserve">Solange II, </w:t>
      </w:r>
      <w:r w:rsidRPr="001B5A51">
        <w:rPr>
          <w:b w:val="0"/>
          <w:szCs w:val="24"/>
          <w:lang w:val="fr-FR"/>
        </w:rPr>
        <w:t>arrêt du 22 octobre 1986, 2 BvR 197/83, (BVerfGE 73, 339)</w:t>
      </w:r>
    </w:p>
    <w:p w:rsidR="004404F1" w:rsidRPr="001B5A51" w:rsidRDefault="00941FCC" w:rsidP="003378C9">
      <w:pPr>
        <w:spacing w:before="120"/>
        <w:ind w:left="720"/>
        <w:rPr>
          <w:rFonts w:ascii="Times New Roman" w:hAnsi="Times New Roman"/>
          <w:sz w:val="28"/>
          <w:szCs w:val="11"/>
          <w:lang w:val="fr-FR"/>
        </w:rPr>
      </w:pPr>
      <w:r w:rsidRPr="001B5A51">
        <w:rPr>
          <w:rFonts w:ascii="Times New Roman" w:hAnsi="Times New Roman"/>
          <w:sz w:val="28"/>
          <w:szCs w:val="11"/>
          <w:lang w:val="fr-FR"/>
        </w:rPr>
        <w:t>L</w:t>
      </w:r>
      <w:r w:rsidR="004404F1" w:rsidRPr="001B5A51">
        <w:rPr>
          <w:rFonts w:ascii="Times New Roman" w:hAnsi="Times New Roman"/>
          <w:sz w:val="28"/>
          <w:szCs w:val="11"/>
          <w:lang w:val="fr-FR"/>
        </w:rPr>
        <w:t xml:space="preserve">a Chambre a décidé que depuis </w:t>
      </w:r>
      <w:r w:rsidRPr="001B5A51">
        <w:rPr>
          <w:rFonts w:ascii="Times New Roman" w:hAnsi="Times New Roman"/>
          <w:sz w:val="28"/>
          <w:szCs w:val="11"/>
          <w:lang w:val="fr-FR"/>
        </w:rPr>
        <w:t xml:space="preserve">1974 </w:t>
      </w:r>
      <w:r w:rsidR="004404F1" w:rsidRPr="001B5A51">
        <w:rPr>
          <w:rFonts w:ascii="Times New Roman" w:hAnsi="Times New Roman"/>
          <w:sz w:val="28"/>
          <w:szCs w:val="11"/>
          <w:lang w:val="fr-FR"/>
        </w:rPr>
        <w:t xml:space="preserve">s’était développé dans le domaine de compétences des Communautés européennes un niveau de protection des droits fondamentaux dont la conception, le contenu et le fonctionnement le rendaient comparable, pour l’essentiel, au standard de protection des droits fondamentaux de la Loi fondamentale. </w:t>
      </w:r>
    </w:p>
    <w:p w:rsidR="004404F1" w:rsidRPr="001B5A51" w:rsidRDefault="004404F1" w:rsidP="003378C9">
      <w:pPr>
        <w:spacing w:before="120"/>
        <w:ind w:left="720"/>
        <w:rPr>
          <w:rFonts w:ascii="Times New Roman" w:hAnsi="Times New Roman"/>
          <w:sz w:val="28"/>
          <w:szCs w:val="11"/>
          <w:lang w:val="fr-FR"/>
        </w:rPr>
      </w:pPr>
      <w:r w:rsidRPr="001B5A51">
        <w:rPr>
          <w:rFonts w:ascii="Times New Roman" w:hAnsi="Times New Roman"/>
          <w:sz w:val="28"/>
          <w:szCs w:val="11"/>
          <w:lang w:val="fr-FR"/>
        </w:rPr>
        <w:t xml:space="preserve">En se fondant sur des décisions individuelles de la Cour de justice, la Chambre a examiné le standard de protection des droits fondamentaux au niveau européen, lequel lui est apparu comme développé, établi et suffisamment assuré, principalement par l’effet de la jurisprudence de la Cour de justice </w:t>
      </w:r>
    </w:p>
    <w:p w:rsidR="004404F1" w:rsidRPr="001B5A51" w:rsidRDefault="004404F1" w:rsidP="003378C9">
      <w:pPr>
        <w:spacing w:before="120"/>
        <w:ind w:left="720"/>
        <w:rPr>
          <w:rFonts w:ascii="Times New Roman" w:hAnsi="Times New Roman"/>
          <w:sz w:val="28"/>
          <w:szCs w:val="11"/>
          <w:lang w:val="fr-FR"/>
        </w:rPr>
      </w:pPr>
      <w:r w:rsidRPr="001B5A51">
        <w:rPr>
          <w:rFonts w:ascii="Times New Roman" w:hAnsi="Times New Roman"/>
          <w:sz w:val="28"/>
          <w:szCs w:val="11"/>
          <w:lang w:val="fr-FR"/>
        </w:rPr>
        <w:t>En conclusion, la Chambre a estimé que tant que les Communautés européennes, et en particulier la jurisprudence de la Cour de justice, garantiraient de manière générale, face aux pouvoirs exercés par les Communautés, une protection des droits fondamentaux efficace et équivalant, pour l’essentiel, au niveau de protection inaliénable exigé par la Loi fondamentale, notamment en garantissant de manière générale le contenu essentiel des droits fondamentaux, aussi longtemps la Cour constitutionnelle fédérale s’abstiendrait d’exercer son contrôle sur l’applicabilité de dispositions</w:t>
      </w:r>
      <w:r w:rsidR="00475677" w:rsidRPr="001B5A51">
        <w:rPr>
          <w:rFonts w:ascii="Times New Roman" w:hAnsi="Times New Roman"/>
          <w:sz w:val="28"/>
          <w:szCs w:val="11"/>
          <w:lang w:val="fr-FR"/>
        </w:rPr>
        <w:t xml:space="preserve"> </w:t>
      </w:r>
      <w:r w:rsidRPr="001B5A51">
        <w:rPr>
          <w:rFonts w:ascii="Times New Roman" w:hAnsi="Times New Roman"/>
          <w:sz w:val="28"/>
          <w:szCs w:val="11"/>
          <w:lang w:val="fr-FR"/>
        </w:rPr>
        <w:t>de droit communautaire dérivé servant de base juridique à l’action de juridictions</w:t>
      </w:r>
      <w:r w:rsidR="00475677" w:rsidRPr="001B5A51">
        <w:rPr>
          <w:rFonts w:ascii="Times New Roman" w:hAnsi="Times New Roman"/>
          <w:sz w:val="28"/>
          <w:szCs w:val="11"/>
          <w:lang w:val="fr-FR"/>
        </w:rPr>
        <w:t xml:space="preserve"> </w:t>
      </w:r>
      <w:r w:rsidRPr="001B5A51">
        <w:rPr>
          <w:rFonts w:ascii="Times New Roman" w:hAnsi="Times New Roman"/>
          <w:sz w:val="28"/>
          <w:szCs w:val="11"/>
          <w:lang w:val="fr-FR"/>
        </w:rPr>
        <w:t xml:space="preserve">et d’autorités </w:t>
      </w:r>
      <w:r w:rsidR="00475677" w:rsidRPr="001B5A51">
        <w:rPr>
          <w:rFonts w:ascii="Times New Roman" w:hAnsi="Times New Roman"/>
          <w:sz w:val="28"/>
          <w:szCs w:val="11"/>
          <w:lang w:val="fr-FR"/>
        </w:rPr>
        <w:t>administratives</w:t>
      </w:r>
      <w:r w:rsidRPr="001B5A51">
        <w:rPr>
          <w:rFonts w:ascii="Times New Roman" w:hAnsi="Times New Roman"/>
          <w:sz w:val="28"/>
          <w:szCs w:val="11"/>
          <w:lang w:val="fr-FR"/>
        </w:rPr>
        <w:t xml:space="preserve"> allemandes sur le territoi</w:t>
      </w:r>
      <w:r w:rsidR="00475677" w:rsidRPr="001B5A51">
        <w:rPr>
          <w:rFonts w:ascii="Times New Roman" w:hAnsi="Times New Roman"/>
          <w:sz w:val="28"/>
          <w:szCs w:val="11"/>
          <w:lang w:val="fr-FR"/>
        </w:rPr>
        <w:t>re allemand et, dès lors, cesse</w:t>
      </w:r>
      <w:r w:rsidRPr="001B5A51">
        <w:rPr>
          <w:rFonts w:ascii="Times New Roman" w:hAnsi="Times New Roman"/>
          <w:sz w:val="28"/>
          <w:szCs w:val="11"/>
          <w:lang w:val="fr-FR"/>
        </w:rPr>
        <w:t>rait d’examiner ce droit à l’aune des droits fondamen</w:t>
      </w:r>
      <w:r w:rsidR="00475677" w:rsidRPr="001B5A51">
        <w:rPr>
          <w:rFonts w:ascii="Times New Roman" w:hAnsi="Times New Roman"/>
          <w:sz w:val="28"/>
          <w:szCs w:val="11"/>
          <w:lang w:val="fr-FR"/>
        </w:rPr>
        <w:t>taux inscrits dans la Loi fonda</w:t>
      </w:r>
      <w:r w:rsidRPr="001B5A51">
        <w:rPr>
          <w:rFonts w:ascii="Times New Roman" w:hAnsi="Times New Roman"/>
          <w:sz w:val="28"/>
          <w:szCs w:val="11"/>
          <w:lang w:val="fr-FR"/>
        </w:rPr>
        <w:t>mentale. En conséquence, les questions préjudicielles (relatives à des normes du droit</w:t>
      </w:r>
      <w:r w:rsidR="00475677" w:rsidRPr="001B5A51">
        <w:rPr>
          <w:rFonts w:ascii="Times New Roman" w:hAnsi="Times New Roman"/>
          <w:sz w:val="28"/>
          <w:szCs w:val="11"/>
          <w:lang w:val="fr-FR"/>
        </w:rPr>
        <w:t xml:space="preserve"> </w:t>
      </w:r>
      <w:r w:rsidRPr="001B5A51">
        <w:rPr>
          <w:rFonts w:ascii="Times New Roman" w:hAnsi="Times New Roman"/>
          <w:sz w:val="28"/>
          <w:szCs w:val="11"/>
          <w:lang w:val="fr-FR"/>
        </w:rPr>
        <w:t>communautaire dérivé) et soumises à la Cour cons</w:t>
      </w:r>
      <w:r w:rsidR="00475677" w:rsidRPr="001B5A51">
        <w:rPr>
          <w:rFonts w:ascii="Times New Roman" w:hAnsi="Times New Roman"/>
          <w:sz w:val="28"/>
          <w:szCs w:val="11"/>
          <w:lang w:val="fr-FR"/>
        </w:rPr>
        <w:t>titutionnelle fédérale conformé</w:t>
      </w:r>
      <w:r w:rsidRPr="001B5A51">
        <w:rPr>
          <w:rFonts w:ascii="Times New Roman" w:hAnsi="Times New Roman"/>
          <w:sz w:val="28"/>
          <w:szCs w:val="11"/>
          <w:lang w:val="fr-FR"/>
        </w:rPr>
        <w:t>ment à l’article 100, alinéa 1 de la Loi fondamentale sont irrecevables (...).</w:t>
      </w:r>
    </w:p>
    <w:p w:rsidR="00574F17" w:rsidRPr="001B5A51" w:rsidRDefault="00574F17" w:rsidP="003378C9">
      <w:pPr>
        <w:pStyle w:val="ListParagraph"/>
        <w:spacing w:before="120"/>
        <w:rPr>
          <w:rFonts w:ascii="Times New Roman" w:hAnsi="Times New Roman"/>
          <w:sz w:val="28"/>
          <w:lang w:val="fr-FR"/>
        </w:rPr>
      </w:pPr>
    </w:p>
    <w:p w:rsidR="00574F17" w:rsidRPr="001B5A51" w:rsidRDefault="00574F17" w:rsidP="003378C9">
      <w:pPr>
        <w:pStyle w:val="Heading4"/>
        <w:spacing w:before="120"/>
        <w:rPr>
          <w:szCs w:val="24"/>
          <w:lang w:val="fr-FR"/>
        </w:rPr>
      </w:pPr>
      <w:r w:rsidRPr="001B5A51">
        <w:rPr>
          <w:szCs w:val="24"/>
          <w:lang w:val="fr-FR"/>
        </w:rPr>
        <w:t xml:space="preserve">Maastricht, </w:t>
      </w:r>
      <w:r w:rsidRPr="001B5A51">
        <w:rPr>
          <w:b w:val="0"/>
          <w:szCs w:val="24"/>
          <w:lang w:val="fr-FR"/>
        </w:rPr>
        <w:t>arrêt du  12 octobre 1993, (BVerfGE 89, 155)</w:t>
      </w:r>
    </w:p>
    <w:p w:rsidR="00574F17" w:rsidRPr="001B5A51" w:rsidRDefault="00574F17" w:rsidP="003378C9">
      <w:pPr>
        <w:spacing w:before="120"/>
        <w:ind w:left="560" w:right="18"/>
        <w:jc w:val="both"/>
        <w:rPr>
          <w:rFonts w:ascii="Times New Roman" w:hAnsi="Times New Roman"/>
          <w:sz w:val="28"/>
          <w:lang w:val="fr-FR"/>
        </w:rPr>
      </w:pPr>
      <w:r w:rsidRPr="001B5A51">
        <w:rPr>
          <w:rFonts w:ascii="Times New Roman" w:hAnsi="Times New Roman"/>
          <w:sz w:val="28"/>
          <w:lang w:val="fr-FR"/>
        </w:rPr>
        <w:t>Les juges du deuxième Sénat considèrent en effet désormais que la compétence de la CCF comprend la protection des droits fondamentaux, non seulement vis-à-vis des organes étatiques allemands, mais également vis-à-vis du “pouvoir souverain” (Hoheitsgewalt) de la Communauté:</w:t>
      </w:r>
    </w:p>
    <w:p w:rsidR="00574F17" w:rsidRPr="001B5A51" w:rsidRDefault="00574F17" w:rsidP="003378C9">
      <w:pPr>
        <w:spacing w:before="120"/>
        <w:ind w:left="560" w:right="578"/>
        <w:jc w:val="both"/>
        <w:rPr>
          <w:rFonts w:ascii="Times New Roman" w:hAnsi="Times New Roman"/>
          <w:sz w:val="28"/>
          <w:lang w:val="fr-FR"/>
        </w:rPr>
      </w:pPr>
      <w:r w:rsidRPr="001B5A51">
        <w:rPr>
          <w:rFonts w:ascii="Times New Roman" w:hAnsi="Times New Roman"/>
          <w:sz w:val="28"/>
          <w:lang w:val="fr-FR"/>
        </w:rPr>
        <w:t>«Les actes émanant d’une puissance publique particulière, distincte de celle des États membres, d’une organisation supranationale concernent les bénéficiaires des droits fondamentaux en Allemagne. Ils touchent ainsi aux garanties de la loi fondamentale et aux missions de la Cour constitutionnelle, qui ont pour objet la protection des droits fondamentaux en Allemagne et dans cette mesure non seulement vis-à-vis des organes étatiques allemands.» (EuGRZ, p. 435)</w:t>
      </w:r>
    </w:p>
    <w:p w:rsidR="006E7817" w:rsidRPr="001B5A51" w:rsidRDefault="00574F17" w:rsidP="003378C9">
      <w:pPr>
        <w:spacing w:before="120"/>
        <w:ind w:left="560" w:right="18"/>
        <w:jc w:val="both"/>
        <w:rPr>
          <w:rFonts w:ascii="Times New Roman" w:hAnsi="Times New Roman"/>
          <w:sz w:val="28"/>
          <w:lang w:val="fr-FR"/>
        </w:rPr>
      </w:pPr>
      <w:r w:rsidRPr="001B5A51">
        <w:rPr>
          <w:rFonts w:ascii="Times New Roman" w:hAnsi="Times New Roman"/>
          <w:sz w:val="28"/>
          <w:lang w:val="fr-FR"/>
        </w:rPr>
        <w:t xml:space="preserve">En élargissant la notion de “puissance publique” (öffentliche Gewalt), qui est au coeur de l’article 93 (1) 4a LF, pour y faire entrer celle exercée par la Communauté, la Cour sera amenée à admettre dans l’avenir des plaintes constitutionnelles individuelles introduites directement contre des actes du droit communautaire dérivé. </w:t>
      </w:r>
    </w:p>
    <w:p w:rsidR="00795A34" w:rsidRPr="001B5A51" w:rsidRDefault="00574F17" w:rsidP="003378C9">
      <w:pPr>
        <w:spacing w:before="120"/>
        <w:ind w:left="560" w:right="18"/>
        <w:jc w:val="both"/>
        <w:rPr>
          <w:rFonts w:ascii="Times New Roman" w:hAnsi="Times New Roman"/>
          <w:sz w:val="28"/>
          <w:lang w:val="fr-FR"/>
        </w:rPr>
      </w:pPr>
      <w:r w:rsidRPr="001B5A51">
        <w:rPr>
          <w:rFonts w:ascii="Times New Roman" w:hAnsi="Times New Roman"/>
          <w:sz w:val="28"/>
          <w:lang w:val="fr-FR"/>
        </w:rPr>
        <w:t xml:space="preserve">L’ampleur de ce revirement est cependant atténuée du fait que la Cour </w:t>
      </w:r>
      <w:r w:rsidR="00795A34" w:rsidRPr="001B5A51">
        <w:rPr>
          <w:rFonts w:ascii="Times New Roman" w:hAnsi="Times New Roman"/>
          <w:sz w:val="28"/>
          <w:lang w:val="fr-FR"/>
        </w:rPr>
        <w:t xml:space="preserve">annonce qu’elle </w:t>
      </w:r>
      <w:r w:rsidRPr="001B5A51">
        <w:rPr>
          <w:rFonts w:ascii="Times New Roman" w:hAnsi="Times New Roman"/>
          <w:sz w:val="28"/>
          <w:lang w:val="fr-FR"/>
        </w:rPr>
        <w:t>exercera son contrôle en coopération (</w:t>
      </w:r>
      <w:r w:rsidRPr="001B5A51">
        <w:rPr>
          <w:rFonts w:ascii="Times New Roman" w:hAnsi="Times New Roman"/>
          <w:b/>
          <w:sz w:val="28"/>
          <w:lang w:val="fr-FR"/>
        </w:rPr>
        <w:t>Kooperationsverhältnis</w:t>
      </w:r>
      <w:r w:rsidRPr="001B5A51">
        <w:rPr>
          <w:rFonts w:ascii="Times New Roman" w:hAnsi="Times New Roman"/>
          <w:sz w:val="28"/>
          <w:lang w:val="fr-FR"/>
        </w:rPr>
        <w:t xml:space="preserve">) avec la Cour de justice des Communautés européennes, laissant à cette dernière le soin d’assurer dans chaque cas la protection dans toute la Communauté, et se bornant, elle, à préserver la garantie générale du niveau inaliénable des droits fondamentaux. </w:t>
      </w:r>
    </w:p>
    <w:p w:rsidR="006E7817" w:rsidRPr="001B5A51" w:rsidRDefault="00386009" w:rsidP="003378C9">
      <w:pPr>
        <w:spacing w:before="120"/>
        <w:ind w:right="18"/>
        <w:jc w:val="both"/>
        <w:rPr>
          <w:rFonts w:ascii="Times New Roman" w:hAnsi="Times New Roman"/>
          <w:sz w:val="28"/>
          <w:lang w:val="fr-FR"/>
        </w:rPr>
      </w:pPr>
      <w:r w:rsidRPr="001B5A51">
        <w:rPr>
          <w:rFonts w:ascii="Times New Roman" w:hAnsi="Times New Roman"/>
          <w:sz w:val="28"/>
          <w:lang w:val="fr-FR"/>
        </w:rPr>
        <w:t xml:space="preserve">= </w:t>
      </w:r>
      <w:r w:rsidR="00574F17" w:rsidRPr="001B5A51">
        <w:rPr>
          <w:rFonts w:ascii="Times New Roman" w:hAnsi="Times New Roman"/>
          <w:sz w:val="28"/>
          <w:lang w:val="fr-FR"/>
        </w:rPr>
        <w:t>un élargissement du droit de saisine des individus.</w:t>
      </w:r>
    </w:p>
    <w:p w:rsidR="006E7817" w:rsidRPr="001B5A51" w:rsidRDefault="006E7817" w:rsidP="003378C9">
      <w:pPr>
        <w:spacing w:before="120"/>
        <w:ind w:right="18"/>
        <w:jc w:val="both"/>
        <w:rPr>
          <w:rFonts w:ascii="Times New Roman" w:hAnsi="Times New Roman"/>
          <w:sz w:val="28"/>
          <w:lang w:val="fr-FR"/>
        </w:rPr>
      </w:pPr>
    </w:p>
    <w:p w:rsidR="00574F17" w:rsidRPr="001B5A51" w:rsidRDefault="00574F17" w:rsidP="003378C9">
      <w:pPr>
        <w:pStyle w:val="Heading4"/>
        <w:spacing w:before="120"/>
        <w:rPr>
          <w:szCs w:val="24"/>
          <w:lang w:val="fr-FR"/>
        </w:rPr>
      </w:pPr>
      <w:r w:rsidRPr="001B5A51">
        <w:rPr>
          <w:szCs w:val="24"/>
          <w:lang w:val="fr-FR"/>
        </w:rPr>
        <w:t xml:space="preserve">Réglementation communautaire du marché de la banane, </w:t>
      </w:r>
      <w:r w:rsidRPr="001B5A51">
        <w:rPr>
          <w:b w:val="0"/>
          <w:szCs w:val="24"/>
          <w:lang w:val="fr-FR"/>
        </w:rPr>
        <w:t>arrêt du 7 juin 2000 (2 BvL 1/97)</w:t>
      </w:r>
    </w:p>
    <w:p w:rsidR="003D0342" w:rsidRPr="001B5A51" w:rsidRDefault="00057F92" w:rsidP="003378C9">
      <w:pPr>
        <w:spacing w:before="120"/>
        <w:ind w:left="720"/>
        <w:rPr>
          <w:rFonts w:ascii="Times New Roman" w:hAnsi="Times New Roman"/>
          <w:sz w:val="28"/>
          <w:szCs w:val="15"/>
          <w:lang w:val="fr-FR"/>
        </w:rPr>
      </w:pPr>
      <w:r w:rsidRPr="001B5A51">
        <w:rPr>
          <w:rFonts w:ascii="Times New Roman" w:hAnsi="Times New Roman"/>
          <w:sz w:val="28"/>
          <w:szCs w:val="15"/>
          <w:lang w:val="fr-FR"/>
        </w:rPr>
        <w:t>„</w:t>
      </w:r>
      <w:r w:rsidR="003D0342" w:rsidRPr="001B5A51">
        <w:rPr>
          <w:rFonts w:ascii="Times New Roman" w:hAnsi="Times New Roman"/>
          <w:sz w:val="28"/>
          <w:szCs w:val="15"/>
          <w:lang w:val="fr-FR"/>
        </w:rPr>
        <w:t>Il</w:t>
      </w:r>
      <w:r w:rsidR="00851AEB" w:rsidRPr="001B5A51">
        <w:rPr>
          <w:rFonts w:ascii="Times New Roman" w:hAnsi="Times New Roman"/>
          <w:sz w:val="28"/>
          <w:szCs w:val="15"/>
          <w:lang w:val="fr-FR"/>
        </w:rPr>
        <w:t xml:space="preserve"> </w:t>
      </w:r>
      <w:r w:rsidR="003D0342" w:rsidRPr="001B5A51">
        <w:rPr>
          <w:rFonts w:ascii="Times New Roman" w:hAnsi="Times New Roman"/>
          <w:sz w:val="28"/>
          <w:szCs w:val="15"/>
          <w:lang w:val="fr-FR"/>
        </w:rPr>
        <w:t xml:space="preserve">n’est pas nécessaire que la protection assurée par le </w:t>
      </w:r>
      <w:r w:rsidR="00B979FC" w:rsidRPr="001B5A51">
        <w:rPr>
          <w:rFonts w:ascii="Times New Roman" w:hAnsi="Times New Roman"/>
          <w:sz w:val="28"/>
          <w:szCs w:val="15"/>
          <w:lang w:val="fr-FR"/>
        </w:rPr>
        <w:t>droit communautaire et la juris</w:t>
      </w:r>
      <w:r w:rsidR="003D0342" w:rsidRPr="001B5A51">
        <w:rPr>
          <w:rFonts w:ascii="Times New Roman" w:hAnsi="Times New Roman"/>
          <w:sz w:val="28"/>
          <w:szCs w:val="15"/>
          <w:lang w:val="fr-FR"/>
        </w:rPr>
        <w:t>prudence de la Cour de justice soit en tous points com</w:t>
      </w:r>
      <w:r w:rsidR="00B979FC" w:rsidRPr="001B5A51">
        <w:rPr>
          <w:rFonts w:ascii="Times New Roman" w:hAnsi="Times New Roman"/>
          <w:sz w:val="28"/>
          <w:szCs w:val="15"/>
          <w:lang w:val="fr-FR"/>
        </w:rPr>
        <w:t>parable à celle de la Loi fonda</w:t>
      </w:r>
      <w:r w:rsidR="003D0342" w:rsidRPr="001B5A51">
        <w:rPr>
          <w:rFonts w:ascii="Times New Roman" w:hAnsi="Times New Roman"/>
          <w:sz w:val="28"/>
          <w:szCs w:val="15"/>
          <w:lang w:val="fr-FR"/>
        </w:rPr>
        <w:t>mentale. Conformément aux conditions formulées dans l’arrêt</w:t>
      </w:r>
      <w:r w:rsidR="00B979FC" w:rsidRPr="001B5A51">
        <w:rPr>
          <w:rFonts w:ascii="Times New Roman" w:hAnsi="Times New Roman"/>
          <w:sz w:val="28"/>
          <w:szCs w:val="15"/>
          <w:lang w:val="fr-FR"/>
        </w:rPr>
        <w:t xml:space="preserve"> Solange II</w:t>
      </w:r>
      <w:r w:rsidR="003D0342" w:rsidRPr="001B5A51">
        <w:rPr>
          <w:rFonts w:ascii="Times New Roman" w:hAnsi="Times New Roman"/>
          <w:sz w:val="28"/>
          <w:szCs w:val="15"/>
          <w:lang w:val="fr-FR"/>
        </w:rPr>
        <w:t>, il est satisfait aux exigences de la Loi fondamentale si la jurisprudence de la</w:t>
      </w:r>
      <w:r w:rsidR="00B979FC" w:rsidRPr="001B5A51">
        <w:rPr>
          <w:rFonts w:ascii="Times New Roman" w:hAnsi="Times New Roman"/>
          <w:sz w:val="28"/>
          <w:szCs w:val="15"/>
          <w:lang w:val="fr-FR"/>
        </w:rPr>
        <w:t xml:space="preserve"> </w:t>
      </w:r>
      <w:r w:rsidR="003D0342" w:rsidRPr="001B5A51">
        <w:rPr>
          <w:rFonts w:ascii="Times New Roman" w:hAnsi="Times New Roman"/>
          <w:sz w:val="28"/>
          <w:szCs w:val="15"/>
          <w:lang w:val="fr-FR"/>
        </w:rPr>
        <w:t>Cour de justice assure, de manière générale, à l’égard des pouvoirs exercés par les</w:t>
      </w:r>
      <w:r w:rsidR="00B97A78" w:rsidRPr="001B5A51">
        <w:rPr>
          <w:rFonts w:ascii="Times New Roman" w:hAnsi="Times New Roman"/>
          <w:sz w:val="28"/>
          <w:szCs w:val="15"/>
          <w:lang w:val="fr-FR"/>
        </w:rPr>
        <w:t xml:space="preserve"> </w:t>
      </w:r>
      <w:r w:rsidR="003D0342" w:rsidRPr="001B5A51">
        <w:rPr>
          <w:rFonts w:ascii="Times New Roman" w:hAnsi="Times New Roman"/>
          <w:sz w:val="28"/>
          <w:szCs w:val="15"/>
          <w:lang w:val="fr-FR"/>
        </w:rPr>
        <w:t>Communautés européennes, une protection efficace et équivalant, pour l’essentiel, au</w:t>
      </w:r>
      <w:r w:rsidR="00B97A78" w:rsidRPr="001B5A51">
        <w:rPr>
          <w:rFonts w:ascii="Times New Roman" w:hAnsi="Times New Roman"/>
          <w:sz w:val="28"/>
          <w:szCs w:val="15"/>
          <w:lang w:val="fr-FR"/>
        </w:rPr>
        <w:t xml:space="preserve"> </w:t>
      </w:r>
      <w:r w:rsidR="003D0342" w:rsidRPr="001B5A51">
        <w:rPr>
          <w:rFonts w:ascii="Times New Roman" w:hAnsi="Times New Roman"/>
          <w:sz w:val="28"/>
          <w:szCs w:val="15"/>
          <w:lang w:val="fr-FR"/>
        </w:rPr>
        <w:t>niveau de protection inaliénable exigé par la Loi fondamentale, notamment en</w:t>
      </w:r>
      <w:r w:rsidR="00B97A78" w:rsidRPr="001B5A51">
        <w:rPr>
          <w:rFonts w:ascii="Times New Roman" w:hAnsi="Times New Roman"/>
          <w:sz w:val="28"/>
          <w:szCs w:val="15"/>
          <w:lang w:val="fr-FR"/>
        </w:rPr>
        <w:t xml:space="preserve"> </w:t>
      </w:r>
      <w:r w:rsidR="003D0342" w:rsidRPr="001B5A51">
        <w:rPr>
          <w:rFonts w:ascii="Times New Roman" w:hAnsi="Times New Roman"/>
          <w:sz w:val="28"/>
          <w:szCs w:val="15"/>
          <w:lang w:val="fr-FR"/>
        </w:rPr>
        <w:t>garantissant de manière générale le contenu essentiel des droits fondamentaux.</w:t>
      </w:r>
    </w:p>
    <w:p w:rsidR="00851AEB" w:rsidRPr="001B5A51" w:rsidRDefault="00851AEB" w:rsidP="003378C9">
      <w:pPr>
        <w:spacing w:before="120"/>
        <w:ind w:left="720"/>
        <w:rPr>
          <w:rFonts w:ascii="Times New Roman" w:hAnsi="Times New Roman"/>
          <w:sz w:val="28"/>
          <w:szCs w:val="15"/>
          <w:lang w:val="fr-FR"/>
        </w:rPr>
      </w:pPr>
      <w:r w:rsidRPr="001B5A51">
        <w:rPr>
          <w:rFonts w:ascii="Times New Roman" w:hAnsi="Times New Roman"/>
          <w:sz w:val="28"/>
          <w:szCs w:val="15"/>
          <w:lang w:val="fr-FR"/>
        </w:rPr>
        <w:t xml:space="preserve">En conséquence, même après l’arrêt </w:t>
      </w:r>
      <w:r w:rsidR="00B979FC" w:rsidRPr="001B5A51">
        <w:rPr>
          <w:rFonts w:ascii="Times New Roman" w:hAnsi="Times New Roman"/>
          <w:sz w:val="28"/>
          <w:szCs w:val="15"/>
          <w:lang w:val="fr-FR"/>
        </w:rPr>
        <w:t xml:space="preserve">Maastricht </w:t>
      </w:r>
      <w:r w:rsidRPr="001B5A51">
        <w:rPr>
          <w:rFonts w:ascii="Times New Roman" w:hAnsi="Times New Roman"/>
          <w:sz w:val="28"/>
          <w:szCs w:val="15"/>
          <w:lang w:val="fr-FR"/>
        </w:rPr>
        <w:t>de la Chambre, les recours</w:t>
      </w:r>
      <w:r w:rsidR="00B97A78" w:rsidRPr="001B5A51">
        <w:rPr>
          <w:rFonts w:ascii="Times New Roman" w:hAnsi="Times New Roman"/>
          <w:sz w:val="28"/>
          <w:szCs w:val="15"/>
          <w:lang w:val="fr-FR"/>
        </w:rPr>
        <w:t xml:space="preserve"> </w:t>
      </w:r>
      <w:r w:rsidRPr="001B5A51">
        <w:rPr>
          <w:rFonts w:ascii="Times New Roman" w:hAnsi="Times New Roman"/>
          <w:sz w:val="28"/>
          <w:szCs w:val="15"/>
          <w:lang w:val="fr-FR"/>
        </w:rPr>
        <w:t>constitutionnels et questions préjudicielles sont irrecevables de plein droit s’ils ne</w:t>
      </w:r>
      <w:bookmarkStart w:id="0" w:name="4"/>
      <w:bookmarkEnd w:id="0"/>
      <w:r w:rsidRPr="001B5A51">
        <w:rPr>
          <w:rFonts w:ascii="Times New Roman" w:hAnsi="Times New Roman"/>
          <w:sz w:val="28"/>
          <w:szCs w:val="15"/>
          <w:lang w:val="fr-FR"/>
        </w:rPr>
        <w:t xml:space="preserve"> démontrent pas que depuis l’arrêt</w:t>
      </w:r>
      <w:r w:rsidR="00B979FC" w:rsidRPr="001B5A51">
        <w:rPr>
          <w:rFonts w:ascii="Times New Roman" w:hAnsi="Times New Roman"/>
          <w:sz w:val="28"/>
          <w:szCs w:val="15"/>
          <w:lang w:val="fr-FR"/>
        </w:rPr>
        <w:t xml:space="preserve"> </w:t>
      </w:r>
      <w:r w:rsidRPr="001B5A51">
        <w:rPr>
          <w:rFonts w:ascii="Times New Roman" w:hAnsi="Times New Roman"/>
          <w:sz w:val="28"/>
          <w:szCs w:val="15"/>
          <w:lang w:val="fr-FR"/>
        </w:rPr>
        <w:t>Solange II, le droit européen, en ce compris la jurisprudence de la Cour de justice, est descendu en-dessous du minimum requis en matière de protection des droits fondamentaux. C’est</w:t>
      </w:r>
      <w:r w:rsidR="00B979FC" w:rsidRPr="001B5A51">
        <w:rPr>
          <w:rFonts w:ascii="Times New Roman" w:hAnsi="Times New Roman"/>
          <w:sz w:val="28"/>
          <w:szCs w:val="15"/>
          <w:lang w:val="fr-FR"/>
        </w:rPr>
        <w:t xml:space="preserve"> </w:t>
      </w:r>
      <w:r w:rsidRPr="001B5A51">
        <w:rPr>
          <w:rFonts w:ascii="Times New Roman" w:hAnsi="Times New Roman"/>
          <w:sz w:val="28"/>
          <w:szCs w:val="15"/>
          <w:lang w:val="fr-FR"/>
        </w:rPr>
        <w:t>pourquoi la motivation d’une question préjudicielle ou d’un recours constitutionnel</w:t>
      </w:r>
      <w:r w:rsidR="00B97A78" w:rsidRPr="001B5A51">
        <w:rPr>
          <w:rFonts w:ascii="Times New Roman" w:hAnsi="Times New Roman"/>
          <w:sz w:val="28"/>
          <w:szCs w:val="15"/>
          <w:lang w:val="fr-FR"/>
        </w:rPr>
        <w:t xml:space="preserve"> </w:t>
      </w:r>
      <w:r w:rsidRPr="001B5A51">
        <w:rPr>
          <w:rFonts w:ascii="Times New Roman" w:hAnsi="Times New Roman"/>
          <w:sz w:val="28"/>
          <w:szCs w:val="15"/>
          <w:lang w:val="fr-FR"/>
        </w:rPr>
        <w:t>qui allèguent la violation, par le droit communautaire dérivé, d’un droit inscrit dans</w:t>
      </w:r>
      <w:r w:rsidR="00B97A78" w:rsidRPr="001B5A51">
        <w:rPr>
          <w:rFonts w:ascii="Times New Roman" w:hAnsi="Times New Roman"/>
          <w:sz w:val="28"/>
          <w:szCs w:val="15"/>
          <w:lang w:val="fr-FR"/>
        </w:rPr>
        <w:t xml:space="preserve"> </w:t>
      </w:r>
      <w:r w:rsidRPr="001B5A51">
        <w:rPr>
          <w:rFonts w:ascii="Times New Roman" w:hAnsi="Times New Roman"/>
          <w:sz w:val="28"/>
          <w:szCs w:val="15"/>
          <w:lang w:val="fr-FR"/>
        </w:rPr>
        <w:t>la Loi fondamentale, doit contenir la démonstration détaillée de ce que de manière</w:t>
      </w:r>
      <w:r w:rsidR="00B97A78" w:rsidRPr="001B5A51">
        <w:rPr>
          <w:rFonts w:ascii="Times New Roman" w:hAnsi="Times New Roman"/>
          <w:sz w:val="28"/>
          <w:szCs w:val="15"/>
          <w:lang w:val="fr-FR"/>
        </w:rPr>
        <w:t xml:space="preserve"> </w:t>
      </w:r>
      <w:r w:rsidRPr="001B5A51">
        <w:rPr>
          <w:rFonts w:ascii="Times New Roman" w:hAnsi="Times New Roman"/>
          <w:sz w:val="28"/>
          <w:szCs w:val="15"/>
          <w:lang w:val="fr-FR"/>
        </w:rPr>
        <w:t>générale, le niveau de protection inaliénable exigé par la Loi fondamentale n’y est</w:t>
      </w:r>
      <w:r w:rsidR="00B97A78" w:rsidRPr="001B5A51">
        <w:rPr>
          <w:rFonts w:ascii="Times New Roman" w:hAnsi="Times New Roman"/>
          <w:sz w:val="28"/>
          <w:szCs w:val="15"/>
          <w:lang w:val="fr-FR"/>
        </w:rPr>
        <w:t xml:space="preserve"> </w:t>
      </w:r>
      <w:r w:rsidRPr="001B5A51">
        <w:rPr>
          <w:rFonts w:ascii="Times New Roman" w:hAnsi="Times New Roman"/>
          <w:sz w:val="28"/>
          <w:szCs w:val="15"/>
          <w:lang w:val="fr-FR"/>
        </w:rPr>
        <w:t>pas assuré. Cela doit se faire par une mise en parallèle de la protection nationale et</w:t>
      </w:r>
      <w:r w:rsidR="00B97A78" w:rsidRPr="001B5A51">
        <w:rPr>
          <w:rFonts w:ascii="Times New Roman" w:hAnsi="Times New Roman"/>
          <w:sz w:val="28"/>
          <w:szCs w:val="15"/>
          <w:lang w:val="fr-FR"/>
        </w:rPr>
        <w:t xml:space="preserve"> </w:t>
      </w:r>
      <w:r w:rsidRPr="001B5A51">
        <w:rPr>
          <w:rFonts w:ascii="Times New Roman" w:hAnsi="Times New Roman"/>
          <w:sz w:val="28"/>
          <w:szCs w:val="15"/>
          <w:lang w:val="fr-FR"/>
        </w:rPr>
        <w:t>communautaire des droits fondamentaux, selon la méthode utilisée par la Cour</w:t>
      </w:r>
      <w:r w:rsidR="00B97A78" w:rsidRPr="001B5A51">
        <w:rPr>
          <w:rFonts w:ascii="Times New Roman" w:hAnsi="Times New Roman"/>
          <w:sz w:val="28"/>
          <w:szCs w:val="15"/>
          <w:lang w:val="fr-FR"/>
        </w:rPr>
        <w:t xml:space="preserve"> </w:t>
      </w:r>
      <w:r w:rsidRPr="001B5A51">
        <w:rPr>
          <w:rFonts w:ascii="Times New Roman" w:hAnsi="Times New Roman"/>
          <w:sz w:val="28"/>
          <w:szCs w:val="15"/>
          <w:lang w:val="fr-FR"/>
        </w:rPr>
        <w:t>constitutionnelle dans s</w:t>
      </w:r>
      <w:r w:rsidR="00094904" w:rsidRPr="001B5A51">
        <w:rPr>
          <w:rFonts w:ascii="Times New Roman" w:hAnsi="Times New Roman"/>
          <w:sz w:val="28"/>
          <w:szCs w:val="15"/>
          <w:lang w:val="fr-FR"/>
        </w:rPr>
        <w:t>on arrêt Solange II.</w:t>
      </w:r>
    </w:p>
    <w:p w:rsidR="00057F92" w:rsidRPr="001B5A51" w:rsidRDefault="00057F92" w:rsidP="003378C9">
      <w:pPr>
        <w:spacing w:before="120"/>
        <w:rPr>
          <w:rFonts w:ascii="Times New Roman" w:hAnsi="Times New Roman"/>
          <w:sz w:val="28"/>
          <w:lang w:val="fr-FR"/>
        </w:rPr>
      </w:pPr>
      <w:r w:rsidRPr="001B5A51">
        <w:rPr>
          <w:rFonts w:ascii="Times New Roman" w:hAnsi="Times New Roman"/>
          <w:sz w:val="28"/>
          <w:lang w:val="fr-FR"/>
        </w:rPr>
        <w:t>La Cour allemande a donc simplement joué sur les conditions de recevabilité des renvois préjudiciels et plaintes constitutionnelles déposées devant elle pour ouv</w:t>
      </w:r>
      <w:r w:rsidR="006E7817" w:rsidRPr="001B5A51">
        <w:rPr>
          <w:rFonts w:ascii="Times New Roman" w:hAnsi="Times New Roman"/>
          <w:sz w:val="28"/>
          <w:lang w:val="fr-FR"/>
        </w:rPr>
        <w:t xml:space="preserve">rir/fermer </w:t>
      </w:r>
      <w:r w:rsidRPr="001B5A51">
        <w:rPr>
          <w:rFonts w:ascii="Times New Roman" w:hAnsi="Times New Roman"/>
          <w:sz w:val="28"/>
          <w:lang w:val="fr-FR"/>
        </w:rPr>
        <w:t xml:space="preserve">puis </w:t>
      </w:r>
      <w:r w:rsidR="006E7817" w:rsidRPr="001B5A51">
        <w:rPr>
          <w:rFonts w:ascii="Times New Roman" w:hAnsi="Times New Roman"/>
          <w:sz w:val="28"/>
          <w:lang w:val="fr-FR"/>
        </w:rPr>
        <w:t>ré ouvrir/</w:t>
      </w:r>
      <w:r w:rsidRPr="001B5A51">
        <w:rPr>
          <w:rFonts w:ascii="Times New Roman" w:hAnsi="Times New Roman"/>
          <w:sz w:val="28"/>
          <w:lang w:val="fr-FR"/>
        </w:rPr>
        <w:t xml:space="preserve">refermer sa prétention de contrôler la conformité aux droits fondamentaux </w:t>
      </w:r>
    </w:p>
    <w:p w:rsidR="00E149A1" w:rsidRPr="001B5A51" w:rsidRDefault="00E149A1" w:rsidP="003378C9">
      <w:pPr>
        <w:spacing w:before="120"/>
        <w:rPr>
          <w:rFonts w:ascii="Times New Roman" w:hAnsi="Times New Roman"/>
          <w:sz w:val="28"/>
          <w:lang w:val="fr-FR"/>
        </w:rPr>
      </w:pPr>
    </w:p>
    <w:p w:rsidR="003F7FE7" w:rsidRPr="001B5A51" w:rsidRDefault="00E149A1" w:rsidP="003378C9">
      <w:pPr>
        <w:spacing w:before="120"/>
        <w:rPr>
          <w:rFonts w:ascii="Times New Roman" w:hAnsi="Times New Roman"/>
          <w:sz w:val="28"/>
          <w:lang w:val="fr-FR"/>
        </w:rPr>
      </w:pPr>
      <w:r w:rsidRPr="001B5A51">
        <w:rPr>
          <w:rFonts w:ascii="Times New Roman" w:hAnsi="Times New Roman"/>
          <w:b/>
          <w:sz w:val="28"/>
          <w:lang w:val="fr-FR"/>
        </w:rPr>
        <w:t>La CJCE répondra</w:t>
      </w:r>
      <w:r w:rsidRPr="001B5A51">
        <w:rPr>
          <w:rFonts w:ascii="Times New Roman" w:hAnsi="Times New Roman"/>
          <w:sz w:val="28"/>
          <w:lang w:val="fr-FR"/>
        </w:rPr>
        <w:t xml:space="preserve"> au défi lancé par le BVerfG par sa jurisprudence bien connue en matière de protection des DF en tant que PGD (Stauder, IHG, Nold …)</w:t>
      </w:r>
    </w:p>
    <w:p w:rsidR="00574F17" w:rsidRPr="001B5A51" w:rsidRDefault="00574F17" w:rsidP="003378C9">
      <w:pPr>
        <w:spacing w:before="120"/>
        <w:rPr>
          <w:rFonts w:ascii="Times New Roman" w:hAnsi="Times New Roman"/>
          <w:sz w:val="28"/>
          <w:lang w:val="fr-FR"/>
        </w:rPr>
      </w:pPr>
    </w:p>
    <w:p w:rsidR="00A6365D" w:rsidRPr="001B5A51" w:rsidRDefault="00A6365D" w:rsidP="00281340">
      <w:pPr>
        <w:spacing w:before="120"/>
        <w:rPr>
          <w:rFonts w:ascii="Times New Roman" w:hAnsi="Times New Roman"/>
          <w:sz w:val="28"/>
          <w:lang w:val="fr-FR"/>
        </w:rPr>
      </w:pPr>
      <w:r w:rsidRPr="001B5A51">
        <w:rPr>
          <w:rFonts w:ascii="Times New Roman" w:hAnsi="Times New Roman"/>
          <w:sz w:val="28"/>
          <w:lang w:val="fr-FR"/>
        </w:rPr>
        <w:t>(</w:t>
      </w:r>
      <w:r w:rsidR="00A663B9" w:rsidRPr="001B5A51">
        <w:rPr>
          <w:rFonts w:ascii="Times New Roman" w:hAnsi="Times New Roman"/>
          <w:sz w:val="28"/>
          <w:lang w:val="fr-FR"/>
        </w:rPr>
        <w:t xml:space="preserve">+ </w:t>
      </w:r>
      <w:r w:rsidR="003378C9" w:rsidRPr="001B5A51">
        <w:rPr>
          <w:rFonts w:ascii="Times New Roman" w:hAnsi="Times New Roman"/>
          <w:sz w:val="28"/>
          <w:lang w:val="fr-FR"/>
        </w:rPr>
        <w:t xml:space="preserve">il existe </w:t>
      </w:r>
      <w:r w:rsidR="00A663B9" w:rsidRPr="001B5A51">
        <w:rPr>
          <w:rFonts w:ascii="Times New Roman" w:hAnsi="Times New Roman"/>
          <w:sz w:val="28"/>
          <w:lang w:val="fr-FR"/>
        </w:rPr>
        <w:t xml:space="preserve">un </w:t>
      </w:r>
      <w:r w:rsidR="00A663B9" w:rsidRPr="001B5A51">
        <w:rPr>
          <w:rFonts w:ascii="Times New Roman" w:hAnsi="Times New Roman"/>
          <w:b/>
          <w:sz w:val="28"/>
          <w:lang w:val="fr-FR"/>
        </w:rPr>
        <w:t>2</w:t>
      </w:r>
      <w:r w:rsidR="00A663B9" w:rsidRPr="001B5A51">
        <w:rPr>
          <w:rFonts w:ascii="Times New Roman" w:hAnsi="Times New Roman"/>
          <w:b/>
          <w:sz w:val="28"/>
          <w:vertAlign w:val="superscript"/>
          <w:lang w:val="fr-FR"/>
        </w:rPr>
        <w:t>ème</w:t>
      </w:r>
      <w:r w:rsidR="001C5E0A" w:rsidRPr="001B5A51">
        <w:rPr>
          <w:rFonts w:ascii="Times New Roman" w:hAnsi="Times New Roman"/>
          <w:b/>
          <w:sz w:val="28"/>
          <w:lang w:val="fr-FR"/>
        </w:rPr>
        <w:t xml:space="preserve"> </w:t>
      </w:r>
      <w:r w:rsidRPr="001B5A51">
        <w:rPr>
          <w:rFonts w:ascii="Times New Roman" w:hAnsi="Times New Roman"/>
          <w:b/>
          <w:sz w:val="28"/>
          <w:lang w:val="fr-FR"/>
        </w:rPr>
        <w:t>Le dialogue</w:t>
      </w:r>
      <w:r w:rsidRPr="001B5A51">
        <w:rPr>
          <w:rFonts w:ascii="Times New Roman" w:hAnsi="Times New Roman"/>
          <w:sz w:val="28"/>
          <w:lang w:val="fr-FR"/>
        </w:rPr>
        <w:t xml:space="preserve"> </w:t>
      </w:r>
      <w:r w:rsidR="00E149A1" w:rsidRPr="001B5A51">
        <w:rPr>
          <w:rFonts w:ascii="Times New Roman" w:hAnsi="Times New Roman"/>
          <w:b/>
          <w:sz w:val="28"/>
          <w:lang w:val="fr-FR"/>
        </w:rPr>
        <w:t>passé</w:t>
      </w:r>
      <w:r w:rsidR="00E149A1" w:rsidRPr="001B5A51">
        <w:rPr>
          <w:rFonts w:ascii="Times New Roman" w:hAnsi="Times New Roman"/>
          <w:sz w:val="28"/>
          <w:lang w:val="fr-FR"/>
        </w:rPr>
        <w:t xml:space="preserve">, celui </w:t>
      </w:r>
      <w:r w:rsidRPr="001B5A51">
        <w:rPr>
          <w:rFonts w:ascii="Times New Roman" w:hAnsi="Times New Roman"/>
          <w:sz w:val="28"/>
          <w:lang w:val="fr-FR"/>
        </w:rPr>
        <w:t xml:space="preserve">du contrôle des actes ultra vires : Maastricht 1992, Lisbonne 2009, clôturé par l’arrêt </w:t>
      </w:r>
      <w:r w:rsidRPr="001B5A51">
        <w:rPr>
          <w:rFonts w:ascii="Times New Roman" w:hAnsi="Times New Roman"/>
          <w:b/>
          <w:sz w:val="28"/>
          <w:lang w:val="fr-FR"/>
        </w:rPr>
        <w:t>Honeywell</w:t>
      </w:r>
      <w:r w:rsidRPr="001B5A51">
        <w:rPr>
          <w:rFonts w:ascii="Times New Roman" w:hAnsi="Times New Roman"/>
          <w:sz w:val="28"/>
          <w:lang w:val="fr-FR"/>
        </w:rPr>
        <w:t xml:space="preserve"> 2010</w:t>
      </w:r>
      <w:r w:rsidR="003F7FE7" w:rsidRPr="001B5A51">
        <w:rPr>
          <w:rFonts w:ascii="Times New Roman" w:hAnsi="Times New Roman"/>
          <w:sz w:val="28"/>
          <w:lang w:val="fr-FR"/>
        </w:rPr>
        <w:t xml:space="preserve"> selon lequel le contrôle des actes ultra vires doit rester exceptionnel. Il faut une violation qualifiée des compétences, qui soit évidente et entraine un déplacement structurel des compétences au détriment des EM, puis il faut préalablement utiliser le renvoi préjudiciel</w:t>
      </w:r>
      <w:r w:rsidR="001C5E0A" w:rsidRPr="001B5A51">
        <w:rPr>
          <w:rFonts w:ascii="Times New Roman" w:hAnsi="Times New Roman"/>
          <w:sz w:val="28"/>
          <w:lang w:val="fr-FR"/>
        </w:rPr>
        <w:t>.</w:t>
      </w:r>
      <w:r w:rsidRPr="001B5A51">
        <w:rPr>
          <w:rFonts w:ascii="Times New Roman" w:hAnsi="Times New Roman"/>
          <w:sz w:val="28"/>
          <w:lang w:val="fr-FR"/>
        </w:rPr>
        <w:t>)</w:t>
      </w:r>
    </w:p>
    <w:p w:rsidR="00174060" w:rsidRDefault="001C5E0A" w:rsidP="003378C9">
      <w:pPr>
        <w:spacing w:before="120"/>
        <w:rPr>
          <w:rFonts w:ascii="Times New Roman" w:hAnsi="Times New Roman"/>
          <w:b/>
          <w:sz w:val="28"/>
          <w:lang w:val="fr-FR"/>
        </w:rPr>
      </w:pPr>
      <w:r w:rsidRPr="001B5A51">
        <w:rPr>
          <w:rFonts w:ascii="Times New Roman" w:hAnsi="Times New Roman"/>
          <w:b/>
          <w:sz w:val="28"/>
          <w:lang w:val="fr-FR"/>
        </w:rPr>
        <w:t>Donc deux dialogues qui commencent par une menace d</w:t>
      </w:r>
      <w:r w:rsidR="00386009" w:rsidRPr="001B5A51">
        <w:rPr>
          <w:rFonts w:ascii="Times New Roman" w:hAnsi="Times New Roman"/>
          <w:b/>
          <w:sz w:val="28"/>
          <w:lang w:val="fr-FR"/>
        </w:rPr>
        <w:t>u BVerfG et se terminent par son désamorçage !</w:t>
      </w:r>
      <w:r w:rsidR="00281340" w:rsidRPr="001B5A51">
        <w:rPr>
          <w:rFonts w:ascii="Times New Roman" w:hAnsi="Times New Roman"/>
          <w:b/>
          <w:sz w:val="28"/>
          <w:lang w:val="fr-FR"/>
        </w:rPr>
        <w:t xml:space="preserve">  = Une stratégie</w:t>
      </w:r>
      <w:r w:rsidR="00E149A1" w:rsidRPr="001B5A51">
        <w:rPr>
          <w:rFonts w:ascii="Times New Roman" w:hAnsi="Times New Roman"/>
          <w:b/>
          <w:sz w:val="28"/>
          <w:lang w:val="fr-FR"/>
        </w:rPr>
        <w:t xml:space="preserve"> destinée à se répéter </w:t>
      </w:r>
      <w:r w:rsidR="00281340" w:rsidRPr="001B5A51">
        <w:rPr>
          <w:rFonts w:ascii="Times New Roman" w:hAnsi="Times New Roman"/>
          <w:b/>
          <w:sz w:val="28"/>
          <w:lang w:val="fr-FR"/>
        </w:rPr>
        <w:t>???</w:t>
      </w:r>
      <w:r w:rsidR="00174060">
        <w:rPr>
          <w:rFonts w:ascii="Times New Roman" w:hAnsi="Times New Roman"/>
          <w:b/>
          <w:sz w:val="28"/>
          <w:lang w:val="fr-FR"/>
        </w:rPr>
        <w:t xml:space="preserve"> </w:t>
      </w:r>
    </w:p>
    <w:p w:rsidR="003F7FE7" w:rsidRPr="00174060" w:rsidRDefault="00174060" w:rsidP="003378C9">
      <w:pPr>
        <w:spacing w:before="120"/>
        <w:rPr>
          <w:rFonts w:ascii="Times New Roman" w:hAnsi="Times New Roman"/>
          <w:i/>
          <w:sz w:val="28"/>
          <w:lang w:val="fr-FR"/>
        </w:rPr>
      </w:pPr>
      <w:r w:rsidRPr="00174060">
        <w:rPr>
          <w:rFonts w:ascii="Times New Roman" w:hAnsi="Times New Roman"/>
          <w:i/>
          <w:sz w:val="28"/>
          <w:lang w:val="fr-FR"/>
        </w:rPr>
        <w:t xml:space="preserve">Le Chevalier Jedi qui brandit son épée laser mais </w:t>
      </w:r>
      <w:r>
        <w:rPr>
          <w:rFonts w:ascii="Times New Roman" w:hAnsi="Times New Roman"/>
          <w:i/>
          <w:sz w:val="28"/>
          <w:lang w:val="fr-FR"/>
        </w:rPr>
        <w:t>ne frappe jamais ?</w:t>
      </w:r>
    </w:p>
    <w:p w:rsidR="00174060" w:rsidRDefault="00174060" w:rsidP="003378C9">
      <w:pPr>
        <w:spacing w:before="120"/>
        <w:rPr>
          <w:rFonts w:ascii="Times New Roman" w:hAnsi="Times New Roman"/>
          <w:b/>
          <w:sz w:val="28"/>
          <w:lang w:val="fr-FR"/>
        </w:rPr>
      </w:pPr>
    </w:p>
    <w:p w:rsidR="003F7FE7" w:rsidRPr="001B5A51" w:rsidRDefault="003F7FE7" w:rsidP="003378C9">
      <w:pPr>
        <w:spacing w:before="120"/>
        <w:rPr>
          <w:rFonts w:ascii="Times New Roman" w:hAnsi="Times New Roman"/>
          <w:b/>
          <w:sz w:val="28"/>
          <w:lang w:val="fr-FR"/>
        </w:rPr>
      </w:pPr>
    </w:p>
    <w:p w:rsidR="00F83C71" w:rsidRPr="001B5A51" w:rsidRDefault="00574F17" w:rsidP="003378C9">
      <w:pPr>
        <w:pStyle w:val="Heading3"/>
        <w:numPr>
          <w:ilvl w:val="1"/>
          <w:numId w:val="2"/>
        </w:numPr>
        <w:spacing w:before="120"/>
        <w:rPr>
          <w:rFonts w:ascii="Times New Roman" w:hAnsi="Times New Roman" w:cs="Times New Roman"/>
          <w:sz w:val="28"/>
          <w:szCs w:val="24"/>
          <w:lang w:val="fr-FR"/>
        </w:rPr>
      </w:pPr>
      <w:r w:rsidRPr="001B5A51">
        <w:rPr>
          <w:rFonts w:ascii="Times New Roman" w:hAnsi="Times New Roman" w:cs="Times New Roman"/>
          <w:sz w:val="28"/>
          <w:szCs w:val="24"/>
          <w:lang w:val="fr-FR"/>
        </w:rPr>
        <w:t>Le dialogue actuel : l’applicabilité de la Charte aux mesures nationales qui entrent dans le champ d’application du droit de l’Union</w:t>
      </w:r>
    </w:p>
    <w:p w:rsidR="00574F17" w:rsidRPr="001B5A51" w:rsidRDefault="00574F17" w:rsidP="00F83C71">
      <w:pPr>
        <w:rPr>
          <w:rFonts w:ascii="Times New Roman" w:hAnsi="Times New Roman"/>
          <w:lang w:val="fr-FR"/>
        </w:rPr>
      </w:pPr>
    </w:p>
    <w:p w:rsidR="00281340" w:rsidRPr="001B5A51" w:rsidRDefault="00C955A6" w:rsidP="003378C9">
      <w:pPr>
        <w:spacing w:before="120"/>
        <w:rPr>
          <w:rFonts w:ascii="Times New Roman" w:hAnsi="Times New Roman"/>
          <w:sz w:val="28"/>
          <w:lang w:val="fr-FR"/>
        </w:rPr>
      </w:pPr>
      <w:r w:rsidRPr="001B5A51">
        <w:rPr>
          <w:rFonts w:ascii="Times New Roman" w:hAnsi="Times New Roman"/>
          <w:sz w:val="28"/>
          <w:lang w:val="fr-FR"/>
        </w:rPr>
        <w:t xml:space="preserve">ENJEU : </w:t>
      </w:r>
      <w:r w:rsidR="00574F17" w:rsidRPr="001B5A51">
        <w:rPr>
          <w:rFonts w:ascii="Times New Roman" w:hAnsi="Times New Roman"/>
          <w:sz w:val="28"/>
          <w:lang w:val="fr-FR"/>
        </w:rPr>
        <w:t xml:space="preserve">Comment éviter une marginalisation de la Cour constitutionnelle en tant que gardienne des droits fondamentaux </w:t>
      </w:r>
      <w:r w:rsidR="00E149A1" w:rsidRPr="001B5A51">
        <w:rPr>
          <w:rFonts w:ascii="Times New Roman" w:hAnsi="Times New Roman"/>
          <w:sz w:val="28"/>
          <w:lang w:val="fr-FR"/>
        </w:rPr>
        <w:t xml:space="preserve">de la Loi fondamentale </w:t>
      </w:r>
      <w:r w:rsidR="00A663B9" w:rsidRPr="001B5A51">
        <w:rPr>
          <w:rFonts w:ascii="Times New Roman" w:hAnsi="Times New Roman"/>
          <w:sz w:val="28"/>
          <w:lang w:val="fr-FR"/>
        </w:rPr>
        <w:t>en Allemagne.</w:t>
      </w:r>
    </w:p>
    <w:p w:rsidR="00281340" w:rsidRPr="001B5A51" w:rsidRDefault="00281340" w:rsidP="003378C9">
      <w:pPr>
        <w:spacing w:before="120"/>
        <w:rPr>
          <w:rFonts w:ascii="Times New Roman" w:hAnsi="Times New Roman"/>
          <w:sz w:val="28"/>
          <w:lang w:val="fr-FR"/>
        </w:rPr>
      </w:pPr>
      <w:r w:rsidRPr="001B5A51">
        <w:rPr>
          <w:rFonts w:ascii="Times New Roman" w:hAnsi="Times New Roman"/>
          <w:sz w:val="28"/>
          <w:lang w:val="fr-FR"/>
        </w:rPr>
        <w:t xml:space="preserve">Cette fois-ci c’est la CJUE qui ouvre le dialogue </w:t>
      </w:r>
      <w:r w:rsidR="00E149A1" w:rsidRPr="001B5A51">
        <w:rPr>
          <w:rFonts w:ascii="Times New Roman" w:hAnsi="Times New Roman"/>
          <w:sz w:val="28"/>
          <w:lang w:val="fr-FR"/>
        </w:rPr>
        <w:t>et la BVerG replique</w:t>
      </w:r>
    </w:p>
    <w:p w:rsidR="001B5A51" w:rsidRPr="001B5A51" w:rsidRDefault="00A668D9" w:rsidP="003378C9">
      <w:pPr>
        <w:spacing w:before="120"/>
        <w:rPr>
          <w:rFonts w:ascii="Times New Roman" w:hAnsi="Times New Roman"/>
          <w:i/>
          <w:sz w:val="28"/>
          <w:lang w:val="fr-FR"/>
        </w:rPr>
      </w:pPr>
      <w:r w:rsidRPr="001B5A51">
        <w:rPr>
          <w:rFonts w:ascii="Times New Roman" w:hAnsi="Times New Roman"/>
          <w:i/>
          <w:sz w:val="28"/>
          <w:lang w:val="fr-FR"/>
        </w:rPr>
        <w:t>(L’empire contre-attaque et notre che</w:t>
      </w:r>
      <w:r w:rsidR="001B5A51" w:rsidRPr="001B5A51">
        <w:rPr>
          <w:rFonts w:ascii="Times New Roman" w:hAnsi="Times New Roman"/>
          <w:i/>
          <w:sz w:val="28"/>
          <w:lang w:val="fr-FR"/>
        </w:rPr>
        <w:t>valier Jedi est pris au dépourvu.)</w:t>
      </w:r>
    </w:p>
    <w:p w:rsidR="00574F17" w:rsidRPr="001B5A51" w:rsidRDefault="00574F17" w:rsidP="003378C9">
      <w:pPr>
        <w:spacing w:before="120"/>
        <w:rPr>
          <w:rFonts w:ascii="Times New Roman" w:hAnsi="Times New Roman"/>
          <w:i/>
          <w:sz w:val="28"/>
          <w:lang w:val="fr-FR"/>
        </w:rPr>
      </w:pPr>
    </w:p>
    <w:p w:rsidR="00574F17" w:rsidRPr="001B5A51" w:rsidRDefault="00574F17" w:rsidP="003378C9">
      <w:pPr>
        <w:pStyle w:val="Heading4"/>
        <w:spacing w:before="120"/>
        <w:rPr>
          <w:szCs w:val="24"/>
          <w:lang w:val="fr-FR"/>
        </w:rPr>
      </w:pPr>
      <w:r w:rsidRPr="001B5A51">
        <w:rPr>
          <w:szCs w:val="24"/>
          <w:lang w:val="fr-FR"/>
        </w:rPr>
        <w:t>1. La jurisprudence de la CJUE relative au champ d’application de la charte</w:t>
      </w:r>
    </w:p>
    <w:p w:rsidR="00574F17" w:rsidRPr="001B5A51" w:rsidRDefault="000C3D9E" w:rsidP="003378C9">
      <w:pPr>
        <w:spacing w:before="120"/>
        <w:rPr>
          <w:rFonts w:ascii="Times New Roman" w:hAnsi="Times New Roman"/>
          <w:sz w:val="28"/>
          <w:lang w:val="fr-FR"/>
        </w:rPr>
      </w:pPr>
      <w:r w:rsidRPr="001B5A51">
        <w:rPr>
          <w:rFonts w:ascii="Times New Roman" w:hAnsi="Times New Roman"/>
          <w:sz w:val="28"/>
          <w:lang w:val="fr-FR"/>
        </w:rPr>
        <w:t>article 51 paragraphe 1, la</w:t>
      </w:r>
      <w:r w:rsidR="008C5D50" w:rsidRPr="001B5A51">
        <w:rPr>
          <w:rFonts w:ascii="Times New Roman" w:hAnsi="Times New Roman"/>
          <w:sz w:val="28"/>
          <w:lang w:val="fr-FR"/>
        </w:rPr>
        <w:t xml:space="preserve"> Charte s’adresse aux Etats membres « uniquement lorsqu’ils mettent en œuvre le droit de l’Union »</w:t>
      </w:r>
      <w:r w:rsidRPr="001B5A51">
        <w:rPr>
          <w:rFonts w:ascii="Times New Roman" w:hAnsi="Times New Roman"/>
          <w:sz w:val="28"/>
          <w:lang w:val="fr-FR"/>
        </w:rPr>
        <w:t xml:space="preserve"> </w:t>
      </w:r>
    </w:p>
    <w:p w:rsidR="00574F17" w:rsidRPr="001B5A51" w:rsidRDefault="00574F17" w:rsidP="003378C9">
      <w:pPr>
        <w:pStyle w:val="Heading5"/>
        <w:spacing w:before="120"/>
        <w:rPr>
          <w:rFonts w:ascii="Times New Roman" w:hAnsi="Times New Roman"/>
          <w:sz w:val="28"/>
          <w:szCs w:val="24"/>
          <w:lang w:val="fr-FR"/>
        </w:rPr>
      </w:pPr>
      <w:r w:rsidRPr="001B5A51">
        <w:rPr>
          <w:rFonts w:ascii="Times New Roman" w:hAnsi="Times New Roman"/>
          <w:sz w:val="28"/>
          <w:szCs w:val="24"/>
          <w:lang w:val="fr-FR"/>
        </w:rPr>
        <w:t>Des confirmations</w:t>
      </w:r>
      <w:r w:rsidR="008C5D50" w:rsidRPr="001B5A51">
        <w:rPr>
          <w:rFonts w:ascii="Times New Roman" w:hAnsi="Times New Roman"/>
          <w:sz w:val="28"/>
          <w:szCs w:val="24"/>
          <w:lang w:val="fr-FR"/>
        </w:rPr>
        <w:t xml:space="preserve"> attendues</w:t>
      </w:r>
      <w:r w:rsidR="00174060">
        <w:rPr>
          <w:rFonts w:ascii="Times New Roman" w:hAnsi="Times New Roman"/>
          <w:sz w:val="28"/>
          <w:szCs w:val="24"/>
          <w:lang w:val="fr-FR"/>
        </w:rPr>
        <w:t xml:space="preserve"> (prévisibles aussi pour le BVerfG)</w:t>
      </w:r>
    </w:p>
    <w:p w:rsidR="008C5D50" w:rsidRPr="001B5A51" w:rsidRDefault="00574F17" w:rsidP="003378C9">
      <w:pPr>
        <w:pStyle w:val="ListParagraph"/>
        <w:numPr>
          <w:ilvl w:val="0"/>
          <w:numId w:val="1"/>
        </w:numPr>
        <w:spacing w:before="120"/>
        <w:rPr>
          <w:rFonts w:ascii="Times New Roman" w:hAnsi="Times New Roman"/>
          <w:sz w:val="28"/>
          <w:lang w:val="fr-FR"/>
        </w:rPr>
      </w:pPr>
      <w:r w:rsidRPr="001B5A51">
        <w:rPr>
          <w:rFonts w:ascii="Times New Roman" w:hAnsi="Times New Roman"/>
          <w:sz w:val="28"/>
          <w:lang w:val="fr-FR"/>
        </w:rPr>
        <w:t>confirmation de la jurisprudence antérieure relative au champ d’applications des DF en tant que PGD</w:t>
      </w:r>
    </w:p>
    <w:p w:rsidR="008C5D50" w:rsidRPr="001B5A51" w:rsidRDefault="008C5D50" w:rsidP="003378C9">
      <w:pPr>
        <w:pStyle w:val="ListParagraph"/>
        <w:numPr>
          <w:ilvl w:val="0"/>
          <w:numId w:val="1"/>
        </w:numPr>
        <w:spacing w:before="120"/>
        <w:rPr>
          <w:rFonts w:ascii="Times New Roman" w:hAnsi="Times New Roman"/>
          <w:sz w:val="28"/>
          <w:lang w:val="fr-FR"/>
        </w:rPr>
      </w:pPr>
      <w:r w:rsidRPr="001B5A51">
        <w:rPr>
          <w:rFonts w:ascii="Times New Roman" w:hAnsi="Times New Roman"/>
          <w:sz w:val="28"/>
          <w:lang w:val="fr-FR"/>
        </w:rPr>
        <w:t xml:space="preserve">Ordonnance </w:t>
      </w:r>
      <w:r w:rsidRPr="001B5A51">
        <w:rPr>
          <w:rFonts w:ascii="Times New Roman" w:hAnsi="Times New Roman"/>
          <w:b/>
          <w:sz w:val="28"/>
          <w:lang w:val="fr-FR"/>
        </w:rPr>
        <w:t>Estov</w:t>
      </w:r>
      <w:r w:rsidRPr="001B5A51">
        <w:rPr>
          <w:rFonts w:ascii="Times New Roman" w:hAnsi="Times New Roman"/>
          <w:sz w:val="28"/>
          <w:lang w:val="fr-FR"/>
        </w:rPr>
        <w:t xml:space="preserve"> 12 novembre 2010 :</w:t>
      </w:r>
      <w:r w:rsidR="000C3D9E" w:rsidRPr="001B5A51">
        <w:rPr>
          <w:rFonts w:ascii="Times New Roman" w:hAnsi="Times New Roman"/>
          <w:sz w:val="28"/>
          <w:lang w:val="fr-FR"/>
        </w:rPr>
        <w:t xml:space="preserve"> point 14 « Étant donné que la décision de renvoi ne contient aucun élément concret permettant de considérer que la decision (litigieuse), constituerait une mesure de mise en œuvre du droit de l’Union ou </w:t>
      </w:r>
      <w:r w:rsidR="000C3D9E" w:rsidRPr="001B5A51">
        <w:rPr>
          <w:rFonts w:ascii="Times New Roman" w:hAnsi="Times New Roman"/>
          <w:b/>
          <w:sz w:val="28"/>
          <w:lang w:val="fr-FR"/>
        </w:rPr>
        <w:t>qu’elle présenterait d’autres éléments de rattachement à ce dernier</w:t>
      </w:r>
      <w:r w:rsidR="000C3D9E" w:rsidRPr="001B5A51">
        <w:rPr>
          <w:rFonts w:ascii="Times New Roman" w:hAnsi="Times New Roman"/>
          <w:sz w:val="28"/>
          <w:lang w:val="fr-FR"/>
        </w:rPr>
        <w:t>, la compétence de la Cour pour répondre à la présente demande de décision préjudicielle n’est pas établie.</w:t>
      </w:r>
    </w:p>
    <w:p w:rsidR="008C5D50" w:rsidRPr="001B5A51" w:rsidRDefault="008C5D50" w:rsidP="003378C9">
      <w:pPr>
        <w:pStyle w:val="ListParagraph"/>
        <w:numPr>
          <w:ilvl w:val="0"/>
          <w:numId w:val="1"/>
        </w:numPr>
        <w:spacing w:before="120"/>
        <w:rPr>
          <w:rFonts w:ascii="Times New Roman" w:hAnsi="Times New Roman"/>
          <w:sz w:val="28"/>
          <w:lang w:val="fr-FR"/>
        </w:rPr>
      </w:pPr>
      <w:r w:rsidRPr="001B5A51">
        <w:rPr>
          <w:rFonts w:ascii="Times New Roman" w:hAnsi="Times New Roman"/>
          <w:b/>
          <w:sz w:val="28"/>
          <w:lang w:val="fr-FR"/>
        </w:rPr>
        <w:t xml:space="preserve">Arrêt </w:t>
      </w:r>
      <w:r w:rsidR="000C3D9E" w:rsidRPr="001B5A51">
        <w:rPr>
          <w:rFonts w:ascii="Times New Roman" w:hAnsi="Times New Roman"/>
          <w:b/>
          <w:sz w:val="28"/>
          <w:lang w:val="fr-FR"/>
        </w:rPr>
        <w:t>N.S.</w:t>
      </w:r>
      <w:r w:rsidR="000C3D9E" w:rsidRPr="001B5A51">
        <w:rPr>
          <w:rFonts w:ascii="Times New Roman" w:hAnsi="Times New Roman"/>
          <w:sz w:val="28"/>
          <w:lang w:val="fr-FR"/>
        </w:rPr>
        <w:t xml:space="preserve"> 21 décembre 2011 : </w:t>
      </w:r>
      <w:r w:rsidR="00001B3E" w:rsidRPr="001B5A51">
        <w:rPr>
          <w:rFonts w:ascii="Times New Roman" w:hAnsi="Times New Roman"/>
          <w:sz w:val="28"/>
          <w:lang w:val="fr-FR"/>
        </w:rPr>
        <w:t>point 68 « le pouvoir d’appréciation conféré aux États membres par l’article 3, paragraphe 2, du règlement n° 343/2003 fait partie des mécanismes de détermination de l’État membre responsable d’une demande d’asile prévus par ledit règlement et, dès lors, ne constitue qu’un élément du système européen commun d’asile. Partant, un État membre qui exerce ce pouvoir d’appréciation doit être considéré comme mettant en œuvre le droit de l’Union au sens de l’article 51, paragraphe 1, de la charte.”</w:t>
      </w:r>
    </w:p>
    <w:p w:rsidR="00281340" w:rsidRPr="001B5A51" w:rsidRDefault="008C5D50" w:rsidP="003378C9">
      <w:pPr>
        <w:pStyle w:val="ListParagraph"/>
        <w:numPr>
          <w:ilvl w:val="0"/>
          <w:numId w:val="1"/>
        </w:numPr>
        <w:spacing w:before="120"/>
        <w:rPr>
          <w:rFonts w:ascii="Times New Roman" w:hAnsi="Times New Roman"/>
          <w:b/>
          <w:sz w:val="28"/>
          <w:lang w:val="fr-FR"/>
        </w:rPr>
      </w:pPr>
      <w:r w:rsidRPr="001B5A51">
        <w:rPr>
          <w:rFonts w:ascii="Times New Roman" w:hAnsi="Times New Roman"/>
          <w:b/>
          <w:sz w:val="28"/>
          <w:lang w:val="fr-FR"/>
        </w:rPr>
        <w:t>Arrêt Akerberg Fransson</w:t>
      </w:r>
      <w:r w:rsidR="00001B3E" w:rsidRPr="001B5A51">
        <w:rPr>
          <w:rFonts w:ascii="Times New Roman" w:hAnsi="Times New Roman"/>
          <w:b/>
          <w:sz w:val="28"/>
          <w:lang w:val="fr-FR"/>
        </w:rPr>
        <w:t xml:space="preserve">, </w:t>
      </w:r>
      <w:r w:rsidR="00001B3E" w:rsidRPr="001B5A51">
        <w:rPr>
          <w:rFonts w:ascii="Times New Roman" w:hAnsi="Times New Roman"/>
          <w:sz w:val="28"/>
          <w:lang w:val="fr-FR"/>
        </w:rPr>
        <w:t xml:space="preserve">26 février 2013 : </w:t>
      </w:r>
      <w:r w:rsidR="00821144" w:rsidRPr="001B5A51">
        <w:rPr>
          <w:rFonts w:ascii="Times New Roman" w:hAnsi="Times New Roman"/>
          <w:sz w:val="28"/>
          <w:lang w:val="fr-FR"/>
        </w:rPr>
        <w:t xml:space="preserve">question de l’applicabilité du principe ne bis in idem de l’article 50 CFR à une affaire de fraude fiscale </w:t>
      </w:r>
      <w:r w:rsidR="002F0375" w:rsidRPr="001B5A51">
        <w:rPr>
          <w:rFonts w:ascii="Times New Roman" w:hAnsi="Times New Roman"/>
          <w:sz w:val="28"/>
          <w:lang w:val="fr-FR"/>
        </w:rPr>
        <w:t xml:space="preserve">(en matière de déclaration de l’IR + TVA) </w:t>
      </w:r>
      <w:r w:rsidR="00821144" w:rsidRPr="001B5A51">
        <w:rPr>
          <w:rFonts w:ascii="Times New Roman" w:hAnsi="Times New Roman"/>
          <w:sz w:val="28"/>
          <w:lang w:val="fr-FR"/>
        </w:rPr>
        <w:t xml:space="preserve">en Suède dans laquelle les autorités suédoises ont infligées une sanction fiscale et </w:t>
      </w:r>
      <w:r w:rsidR="002F0375" w:rsidRPr="001B5A51">
        <w:rPr>
          <w:rFonts w:ascii="Times New Roman" w:hAnsi="Times New Roman"/>
          <w:sz w:val="28"/>
          <w:lang w:val="fr-FR"/>
        </w:rPr>
        <w:t xml:space="preserve">introduite une action </w:t>
      </w:r>
      <w:r w:rsidR="00821144" w:rsidRPr="001B5A51">
        <w:rPr>
          <w:rFonts w:ascii="Times New Roman" w:hAnsi="Times New Roman"/>
          <w:sz w:val="28"/>
          <w:lang w:val="fr-FR"/>
        </w:rPr>
        <w:t xml:space="preserve">pénale </w:t>
      </w:r>
      <w:r w:rsidR="00A22F09" w:rsidRPr="001B5A51">
        <w:rPr>
          <w:rFonts w:ascii="Times New Roman" w:hAnsi="Times New Roman"/>
          <w:sz w:val="28"/>
          <w:lang w:val="fr-FR"/>
        </w:rPr>
        <w:t xml:space="preserve">prévues chacune par des dispositions de droit suédois qui </w:t>
      </w:r>
      <w:r w:rsidR="002F0375" w:rsidRPr="001B5A51">
        <w:rPr>
          <w:rFonts w:ascii="Times New Roman" w:hAnsi="Times New Roman"/>
          <w:sz w:val="28"/>
          <w:lang w:val="fr-FR"/>
        </w:rPr>
        <w:t>en soi ne constituent pas une mise en œuvre du droit de l’Union</w:t>
      </w:r>
      <w:r w:rsidR="00A22F09" w:rsidRPr="001B5A51">
        <w:rPr>
          <w:rFonts w:ascii="Times New Roman" w:hAnsi="Times New Roman"/>
          <w:sz w:val="28"/>
          <w:lang w:val="fr-FR"/>
        </w:rPr>
        <w:t>.</w:t>
      </w:r>
      <w:r w:rsidR="00821144" w:rsidRPr="001B5A51">
        <w:rPr>
          <w:rFonts w:ascii="Times New Roman" w:hAnsi="Times New Roman"/>
          <w:sz w:val="28"/>
          <w:lang w:val="fr-FR"/>
        </w:rPr>
        <w:br/>
      </w:r>
    </w:p>
    <w:p w:rsidR="001E14E9" w:rsidRPr="001B5A51" w:rsidRDefault="00001B3E" w:rsidP="003378C9">
      <w:pPr>
        <w:pStyle w:val="ListParagraph"/>
        <w:numPr>
          <w:ilvl w:val="0"/>
          <w:numId w:val="1"/>
        </w:numPr>
        <w:spacing w:before="120"/>
        <w:rPr>
          <w:rFonts w:ascii="Times New Roman" w:hAnsi="Times New Roman"/>
          <w:b/>
          <w:sz w:val="28"/>
          <w:lang w:val="fr-FR"/>
        </w:rPr>
      </w:pPr>
      <w:r w:rsidRPr="001B5A51">
        <w:rPr>
          <w:rFonts w:ascii="Times New Roman" w:hAnsi="Times New Roman"/>
          <w:b/>
          <w:sz w:val="28"/>
          <w:lang w:val="fr-FR"/>
        </w:rPr>
        <w:t xml:space="preserve">point </w:t>
      </w:r>
      <w:r w:rsidR="00AC48D4" w:rsidRPr="001B5A51">
        <w:rPr>
          <w:rFonts w:ascii="Times New Roman" w:hAnsi="Times New Roman"/>
          <w:b/>
          <w:sz w:val="28"/>
          <w:lang w:val="fr-FR"/>
        </w:rPr>
        <w:t>21</w:t>
      </w:r>
      <w:r w:rsidR="002A5436" w:rsidRPr="001B5A51">
        <w:rPr>
          <w:rFonts w:ascii="Times New Roman" w:hAnsi="Times New Roman"/>
          <w:b/>
          <w:sz w:val="28"/>
          <w:lang w:val="fr-FR"/>
        </w:rPr>
        <w:t xml:space="preserve">  </w:t>
      </w:r>
      <w:r w:rsidR="00D92867" w:rsidRPr="001B5A51">
        <w:rPr>
          <w:rFonts w:ascii="Times New Roman" w:hAnsi="Times New Roman"/>
          <w:sz w:val="28"/>
          <w:lang w:val="fr-FR"/>
        </w:rPr>
        <w:t>“</w:t>
      </w:r>
      <w:r w:rsidR="002A5436" w:rsidRPr="001B5A51">
        <w:rPr>
          <w:rFonts w:ascii="Times New Roman" w:hAnsi="Times New Roman"/>
          <w:sz w:val="28"/>
          <w:lang w:val="fr-FR"/>
        </w:rPr>
        <w:t>Les droits fondamentaux garantis par la Charte devant, par conséquent, être respectés lorsqu’une réglementation nationale entre dans le champ d’application du droit de l’Union, il ne saurait exister de cas de figure qui relèvent ainsi du droit de l’Union sans que lesdits droits fondamentaux trouvent à s’appliquer. L’applicabilité du droit de l’Union implique celle des droits fondamentaux garantis par la Charte.</w:t>
      </w:r>
      <w:r w:rsidR="00D92867" w:rsidRPr="001B5A51">
        <w:rPr>
          <w:rFonts w:ascii="Times New Roman" w:hAnsi="Times New Roman"/>
          <w:sz w:val="28"/>
          <w:lang w:val="fr-FR"/>
        </w:rPr>
        <w:t>”</w:t>
      </w:r>
    </w:p>
    <w:p w:rsidR="00574F17" w:rsidRPr="001B5A51" w:rsidRDefault="00574F17" w:rsidP="001E14E9">
      <w:pPr>
        <w:pStyle w:val="ListParagraph"/>
        <w:spacing w:before="120"/>
        <w:rPr>
          <w:rFonts w:ascii="Times New Roman" w:hAnsi="Times New Roman"/>
          <w:b/>
          <w:sz w:val="28"/>
          <w:lang w:val="fr-FR"/>
        </w:rPr>
      </w:pPr>
    </w:p>
    <w:p w:rsidR="002F0375" w:rsidRPr="001B5A51" w:rsidRDefault="00574F17" w:rsidP="003378C9">
      <w:pPr>
        <w:pStyle w:val="ListParagraph"/>
        <w:numPr>
          <w:ilvl w:val="0"/>
          <w:numId w:val="1"/>
        </w:numPr>
        <w:spacing w:before="120"/>
        <w:rPr>
          <w:rFonts w:ascii="Times New Roman" w:hAnsi="Times New Roman"/>
          <w:sz w:val="28"/>
          <w:lang w:val="fr-FR"/>
        </w:rPr>
      </w:pPr>
      <w:r w:rsidRPr="001B5A51">
        <w:rPr>
          <w:rFonts w:ascii="Times New Roman" w:hAnsi="Times New Roman"/>
          <w:sz w:val="28"/>
          <w:lang w:val="fr-FR"/>
        </w:rPr>
        <w:t>confirmation de la teneur des explications</w:t>
      </w:r>
    </w:p>
    <w:p w:rsidR="00AC48D4" w:rsidRPr="001B5A51" w:rsidRDefault="002F0375" w:rsidP="003378C9">
      <w:pPr>
        <w:pStyle w:val="ListParagraph"/>
        <w:spacing w:before="120"/>
        <w:rPr>
          <w:rFonts w:ascii="Times New Roman" w:hAnsi="Times New Roman"/>
          <w:sz w:val="28"/>
          <w:lang w:val="fr-FR"/>
        </w:rPr>
      </w:pPr>
      <w:r w:rsidRPr="001B5A51">
        <w:rPr>
          <w:rFonts w:ascii="Times New Roman" w:hAnsi="Times New Roman"/>
          <w:sz w:val="28"/>
          <w:lang w:val="fr-FR"/>
        </w:rPr>
        <w:t xml:space="preserve">point 18 : article 51 par. 1 « confirme ainsi la jurisprudence de la Cour </w:t>
      </w:r>
      <w:r w:rsidR="00AC48D4" w:rsidRPr="001B5A51">
        <w:rPr>
          <w:rFonts w:ascii="Times New Roman" w:hAnsi="Times New Roman"/>
          <w:sz w:val="28"/>
          <w:lang w:val="fr-FR"/>
        </w:rPr>
        <w:t>relative à la mesure dans laquelle l’action des États membres doit se conformer aux exigences découlant des droits fondamentaux garantis dans l’ordre juridique de l’Union.”</w:t>
      </w:r>
    </w:p>
    <w:p w:rsidR="00AC48D4" w:rsidRPr="001B5A51" w:rsidRDefault="00AC48D4" w:rsidP="003378C9">
      <w:pPr>
        <w:pStyle w:val="ListParagraph"/>
        <w:spacing w:before="120"/>
        <w:rPr>
          <w:rFonts w:ascii="Times New Roman" w:hAnsi="Times New Roman"/>
          <w:sz w:val="28"/>
          <w:lang w:val="fr-FR"/>
        </w:rPr>
      </w:pPr>
      <w:r w:rsidRPr="001B5A51">
        <w:rPr>
          <w:rFonts w:ascii="Times New Roman" w:hAnsi="Times New Roman"/>
          <w:sz w:val="28"/>
          <w:lang w:val="fr-FR"/>
        </w:rPr>
        <w:t>Point 20: definition corroborée par les explications</w:t>
      </w:r>
    </w:p>
    <w:p w:rsidR="00574F17" w:rsidRPr="001B5A51" w:rsidRDefault="00574F17" w:rsidP="003378C9">
      <w:pPr>
        <w:pStyle w:val="ListParagraph"/>
        <w:spacing w:before="120"/>
        <w:rPr>
          <w:rFonts w:ascii="Times New Roman" w:hAnsi="Times New Roman"/>
          <w:sz w:val="28"/>
          <w:lang w:val="fr-FR"/>
        </w:rPr>
      </w:pPr>
    </w:p>
    <w:p w:rsidR="00AC48D4" w:rsidRPr="001B5A51" w:rsidRDefault="001E14E9" w:rsidP="003378C9">
      <w:pPr>
        <w:pStyle w:val="ListParagraph"/>
        <w:numPr>
          <w:ilvl w:val="0"/>
          <w:numId w:val="1"/>
        </w:numPr>
        <w:spacing w:before="120"/>
        <w:rPr>
          <w:rFonts w:ascii="Times New Roman" w:hAnsi="Times New Roman"/>
          <w:sz w:val="28"/>
          <w:lang w:val="fr-FR"/>
        </w:rPr>
      </w:pPr>
      <w:r w:rsidRPr="001B5A51">
        <w:rPr>
          <w:rFonts w:ascii="Times New Roman" w:hAnsi="Times New Roman"/>
          <w:sz w:val="28"/>
          <w:lang w:val="fr-FR"/>
        </w:rPr>
        <w:t xml:space="preserve">= une </w:t>
      </w:r>
      <w:r w:rsidR="008C5D50" w:rsidRPr="001B5A51">
        <w:rPr>
          <w:rFonts w:ascii="Times New Roman" w:hAnsi="Times New Roman"/>
          <w:sz w:val="28"/>
          <w:lang w:val="fr-FR"/>
        </w:rPr>
        <w:t>interprétation</w:t>
      </w:r>
      <w:r w:rsidR="00574F17" w:rsidRPr="001B5A51">
        <w:rPr>
          <w:rFonts w:ascii="Times New Roman" w:hAnsi="Times New Roman"/>
          <w:sz w:val="28"/>
          <w:lang w:val="fr-FR"/>
        </w:rPr>
        <w:t xml:space="preserve"> large des termes de l’article 51 Charte</w:t>
      </w:r>
    </w:p>
    <w:p w:rsidR="00AC48D4" w:rsidRPr="001B5A51" w:rsidRDefault="00C672EB" w:rsidP="003378C9">
      <w:pPr>
        <w:pStyle w:val="ListParagraph"/>
        <w:spacing w:before="120"/>
        <w:rPr>
          <w:rFonts w:ascii="Times New Roman" w:hAnsi="Times New Roman"/>
          <w:sz w:val="28"/>
          <w:lang w:val="fr-FR"/>
        </w:rPr>
      </w:pPr>
      <w:r w:rsidRPr="001B5A51">
        <w:rPr>
          <w:rFonts w:ascii="Times New Roman" w:hAnsi="Times New Roman"/>
          <w:sz w:val="28"/>
          <w:lang w:val="fr-FR"/>
        </w:rPr>
        <w:t xml:space="preserve">pt. 24 </w:t>
      </w:r>
      <w:r w:rsidR="00AC48D4" w:rsidRPr="001B5A51">
        <w:rPr>
          <w:rFonts w:ascii="Times New Roman" w:hAnsi="Times New Roman"/>
          <w:sz w:val="28"/>
          <w:lang w:val="fr-FR"/>
        </w:rPr>
        <w:t>« les sanctions pénales fiscales et poursuites pénales … sont liées en partie à des manquements à ses obligations déclaratives en matière de TVA »</w:t>
      </w:r>
    </w:p>
    <w:p w:rsidR="00574F17" w:rsidRPr="001B5A51" w:rsidRDefault="008D3BAF" w:rsidP="003378C9">
      <w:pPr>
        <w:pStyle w:val="ListParagraph"/>
        <w:spacing w:before="120"/>
        <w:rPr>
          <w:rFonts w:ascii="Times New Roman" w:hAnsi="Times New Roman"/>
          <w:sz w:val="28"/>
          <w:lang w:val="fr-FR"/>
        </w:rPr>
      </w:pPr>
      <w:r w:rsidRPr="001B5A51">
        <w:rPr>
          <w:rFonts w:ascii="Times New Roman" w:hAnsi="Times New Roman"/>
          <w:sz w:val="28"/>
          <w:lang w:val="fr-FR"/>
        </w:rPr>
        <w:t>pt. 25 « en matière de TVA … il découle directive 2006/112 (relative au système commun de la TVA) … que chaque État membre a l’obligation de prendre toutes les mesures législatives et administratives propres à garantir la perception de l’intégralité de la TVA due sur son territoire et à lutter contre la fraude.”</w:t>
      </w:r>
    </w:p>
    <w:p w:rsidR="008D3BAF" w:rsidRPr="001B5A51" w:rsidRDefault="008D3BAF" w:rsidP="003378C9">
      <w:pPr>
        <w:spacing w:before="120"/>
        <w:rPr>
          <w:rFonts w:ascii="Times New Roman" w:hAnsi="Times New Roman"/>
          <w:sz w:val="28"/>
          <w:lang w:val="fr-FR"/>
        </w:rPr>
      </w:pPr>
      <w:r w:rsidRPr="001B5A51">
        <w:rPr>
          <w:rFonts w:ascii="Times New Roman" w:hAnsi="Times New Roman"/>
          <w:sz w:val="28"/>
          <w:lang w:val="fr-FR"/>
        </w:rPr>
        <w:t xml:space="preserve">Pt. 26  + « article 325 TFUE oblige les États membres à lutter contre les activités illicites portant atteinte aux intérêts financiers de l’Union par des mesures dissuasives et effectives et, en particulier, les oblige à prendre les </w:t>
      </w:r>
      <w:r w:rsidRPr="001B5A51">
        <w:rPr>
          <w:rFonts w:ascii="Times New Roman" w:hAnsi="Times New Roman"/>
          <w:sz w:val="28"/>
          <w:u w:val="single"/>
          <w:lang w:val="fr-FR"/>
        </w:rPr>
        <w:t>mêmes mesures</w:t>
      </w:r>
      <w:r w:rsidRPr="001B5A51">
        <w:rPr>
          <w:rFonts w:ascii="Times New Roman" w:hAnsi="Times New Roman"/>
          <w:sz w:val="28"/>
          <w:lang w:val="fr-FR"/>
        </w:rPr>
        <w:t xml:space="preserve"> pour combattre la fraude portant atteinte aux intérêts financiers de l’Union que celles qu’ils prennent pour combattre la fraude portant atteinte à leurs propres intérêts”</w:t>
      </w:r>
    </w:p>
    <w:p w:rsidR="00833F0D" w:rsidRPr="001B5A51" w:rsidRDefault="008D3BAF" w:rsidP="003378C9">
      <w:pPr>
        <w:spacing w:before="120"/>
        <w:rPr>
          <w:rFonts w:ascii="Times New Roman" w:hAnsi="Times New Roman"/>
          <w:sz w:val="28"/>
          <w:lang w:val="fr-FR"/>
        </w:rPr>
      </w:pPr>
      <w:r w:rsidRPr="001B5A51">
        <w:rPr>
          <w:rFonts w:ascii="Times New Roman" w:hAnsi="Times New Roman"/>
          <w:sz w:val="28"/>
          <w:lang w:val="fr-FR"/>
        </w:rPr>
        <w:t>Donc de telles sanctions et poursuites constituent une mise en oeuvre</w:t>
      </w:r>
      <w:r w:rsidR="00833F0D" w:rsidRPr="001B5A51">
        <w:rPr>
          <w:rFonts w:ascii="Times New Roman" w:hAnsi="Times New Roman"/>
          <w:sz w:val="28"/>
          <w:lang w:val="fr-FR"/>
        </w:rPr>
        <w:t xml:space="preserve"> de la directive et de l’article 325 TFUE au sens de l’article 51 par 1 CFR</w:t>
      </w:r>
    </w:p>
    <w:p w:rsidR="001E14E9" w:rsidRPr="001B5A51" w:rsidRDefault="00AD3BEB" w:rsidP="003378C9">
      <w:pPr>
        <w:spacing w:before="120"/>
        <w:rPr>
          <w:rFonts w:ascii="Times New Roman" w:hAnsi="Times New Roman"/>
          <w:sz w:val="28"/>
          <w:lang w:val="fr-FR"/>
        </w:rPr>
      </w:pPr>
      <w:r w:rsidRPr="001B5A51">
        <w:rPr>
          <w:rFonts w:ascii="Times New Roman" w:hAnsi="Times New Roman"/>
          <w:sz w:val="28"/>
          <w:lang w:val="fr-FR"/>
        </w:rPr>
        <w:t>28 « </w:t>
      </w:r>
      <w:r w:rsidR="00833F0D" w:rsidRPr="001B5A51">
        <w:rPr>
          <w:rFonts w:ascii="Times New Roman" w:hAnsi="Times New Roman"/>
          <w:sz w:val="28"/>
          <w:lang w:val="fr-FR"/>
        </w:rPr>
        <w:t xml:space="preserve"> Le fait que les réglementations nationales qui servent de fondement auxdites sanctions fiscales et poursuites pénales </w:t>
      </w:r>
      <w:r w:rsidR="00833F0D" w:rsidRPr="001B5A51">
        <w:rPr>
          <w:rFonts w:ascii="Times New Roman" w:hAnsi="Times New Roman"/>
          <w:sz w:val="28"/>
          <w:u w:val="single"/>
          <w:lang w:val="fr-FR"/>
        </w:rPr>
        <w:t>n’aient pas été adoptées pour transposer la directive</w:t>
      </w:r>
      <w:r w:rsidR="00833F0D" w:rsidRPr="001B5A51">
        <w:rPr>
          <w:rFonts w:ascii="Times New Roman" w:hAnsi="Times New Roman"/>
          <w:sz w:val="28"/>
          <w:lang w:val="fr-FR"/>
        </w:rPr>
        <w:t xml:space="preserve"> 2006/112 ne saurait être de nature à remettre en cause cette conclusion, dès lors que leur application tend à sanctionner une violation des dispositions de ladite directive et vise donc à mettre en œuvre l’obligation imposée par le traité aux États membres de sanctionner de manière effective les comportements attentatoires aux intérêts financiers de l’Union.</w:t>
      </w:r>
      <w:r w:rsidRPr="001B5A51">
        <w:rPr>
          <w:rFonts w:ascii="Times New Roman" w:hAnsi="Times New Roman"/>
          <w:sz w:val="28"/>
          <w:lang w:val="fr-FR"/>
        </w:rPr>
        <w:t> »</w:t>
      </w:r>
    </w:p>
    <w:p w:rsidR="001E14E9" w:rsidRPr="001B5A51" w:rsidRDefault="001E14E9" w:rsidP="003378C9">
      <w:pPr>
        <w:spacing w:before="120"/>
        <w:rPr>
          <w:rFonts w:ascii="Times New Roman" w:hAnsi="Times New Roman"/>
          <w:b/>
          <w:i/>
          <w:sz w:val="28"/>
          <w:lang w:val="fr-FR"/>
        </w:rPr>
      </w:pPr>
      <w:r w:rsidRPr="001B5A51">
        <w:rPr>
          <w:rFonts w:ascii="Times New Roman" w:hAnsi="Times New Roman"/>
          <w:b/>
          <w:i/>
          <w:sz w:val="28"/>
          <w:lang w:val="fr-FR"/>
        </w:rPr>
        <w:t>Donc en résumée : l’application de dispositions de droit interne pour sanctionner une violation du droit de l’Union = mise en œuvre du droit de l’Union</w:t>
      </w:r>
      <w:r w:rsidR="00AD3BEB" w:rsidRPr="001B5A51">
        <w:rPr>
          <w:rFonts w:ascii="Times New Roman" w:hAnsi="Times New Roman"/>
          <w:b/>
          <w:i/>
          <w:sz w:val="28"/>
          <w:lang w:val="fr-FR"/>
        </w:rPr>
        <w:t xml:space="preserve"> cf. déjà </w:t>
      </w:r>
      <w:r w:rsidR="00AD3BEB" w:rsidRPr="001B5A51">
        <w:rPr>
          <w:rFonts w:ascii="Times New Roman" w:hAnsi="Times New Roman"/>
          <w:lang w:val="fr-FR"/>
        </w:rPr>
        <w:t>16 octobre 2003, Hannl-Hofstetter, C</w:t>
      </w:r>
      <w:r w:rsidR="00AD3BEB" w:rsidRPr="001B5A51">
        <w:rPr>
          <w:rFonts w:ascii="Times New Roman" w:hAnsi="Times New Roman"/>
          <w:lang w:val="fr-FR"/>
        </w:rPr>
        <w:noBreakHyphen/>
        <w:t>91/02, Rec. p. I</w:t>
      </w:r>
      <w:r w:rsidR="00AD3BEB" w:rsidRPr="001B5A51">
        <w:rPr>
          <w:rFonts w:ascii="Times New Roman" w:hAnsi="Times New Roman"/>
          <w:lang w:val="fr-FR"/>
        </w:rPr>
        <w:noBreakHyphen/>
        <w:t>12077</w:t>
      </w:r>
    </w:p>
    <w:p w:rsidR="00574F17" w:rsidRPr="001B5A51" w:rsidRDefault="001E14E9" w:rsidP="003378C9">
      <w:pPr>
        <w:spacing w:before="120"/>
        <w:rPr>
          <w:rFonts w:ascii="Times New Roman" w:hAnsi="Times New Roman"/>
          <w:sz w:val="28"/>
          <w:lang w:val="fr-FR"/>
        </w:rPr>
      </w:pPr>
      <w:r w:rsidRPr="001B5A51">
        <w:rPr>
          <w:rFonts w:ascii="Times New Roman" w:hAnsi="Times New Roman"/>
          <w:sz w:val="28"/>
          <w:lang w:val="fr-FR"/>
        </w:rPr>
        <w:t>En dépit des termes très généraux du point 21 la Cour admet certaines exceptions :</w:t>
      </w:r>
    </w:p>
    <w:p w:rsidR="00574F17" w:rsidRPr="001B5A51" w:rsidRDefault="00574F17" w:rsidP="003378C9">
      <w:pPr>
        <w:pStyle w:val="Heading5"/>
        <w:spacing w:before="120"/>
        <w:rPr>
          <w:rFonts w:ascii="Times New Roman" w:hAnsi="Times New Roman"/>
          <w:sz w:val="28"/>
          <w:szCs w:val="24"/>
          <w:lang w:val="fr-FR"/>
        </w:rPr>
      </w:pPr>
      <w:r w:rsidRPr="001B5A51">
        <w:rPr>
          <w:rFonts w:ascii="Times New Roman" w:hAnsi="Times New Roman"/>
          <w:sz w:val="28"/>
          <w:szCs w:val="24"/>
          <w:lang w:val="fr-FR"/>
        </w:rPr>
        <w:t>Les exceptions</w:t>
      </w:r>
      <w:r w:rsidR="008C5D50" w:rsidRPr="001B5A51">
        <w:rPr>
          <w:rFonts w:ascii="Times New Roman" w:hAnsi="Times New Roman"/>
          <w:sz w:val="28"/>
          <w:szCs w:val="24"/>
          <w:lang w:val="fr-FR"/>
        </w:rPr>
        <w:t xml:space="preserve"> maintenues</w:t>
      </w:r>
      <w:r w:rsidR="005D7A16" w:rsidRPr="001B5A51">
        <w:rPr>
          <w:rFonts w:ascii="Times New Roman" w:hAnsi="Times New Roman"/>
          <w:sz w:val="28"/>
          <w:szCs w:val="24"/>
          <w:lang w:val="fr-FR"/>
        </w:rPr>
        <w:t xml:space="preserve"> (3)</w:t>
      </w:r>
    </w:p>
    <w:p w:rsidR="002A5436" w:rsidRPr="001B5A51" w:rsidRDefault="0067507B" w:rsidP="003378C9">
      <w:pPr>
        <w:spacing w:before="120"/>
        <w:ind w:left="720"/>
        <w:rPr>
          <w:rFonts w:ascii="Times New Roman" w:hAnsi="Times New Roman"/>
          <w:sz w:val="28"/>
          <w:szCs w:val="20"/>
          <w:lang w:val="fr-FR"/>
        </w:rPr>
      </w:pPr>
      <w:r w:rsidRPr="001B5A51">
        <w:rPr>
          <w:rFonts w:ascii="Times New Roman" w:hAnsi="Times New Roman"/>
          <w:sz w:val="28"/>
          <w:lang w:val="fr-FR"/>
        </w:rPr>
        <w:t xml:space="preserve">1° </w:t>
      </w:r>
      <w:r w:rsidR="00574F17" w:rsidRPr="001B5A51">
        <w:rPr>
          <w:rFonts w:ascii="Times New Roman" w:hAnsi="Times New Roman"/>
          <w:b/>
          <w:sz w:val="28"/>
          <w:lang w:val="fr-FR"/>
        </w:rPr>
        <w:t>jurisprudence Annibaldi</w:t>
      </w:r>
      <w:r w:rsidR="00E434B8" w:rsidRPr="001B5A51">
        <w:rPr>
          <w:rFonts w:ascii="Times New Roman" w:hAnsi="Times New Roman"/>
          <w:b/>
          <w:sz w:val="28"/>
          <w:lang w:val="fr-FR"/>
        </w:rPr>
        <w:t xml:space="preserve"> </w:t>
      </w:r>
      <w:r w:rsidR="002A5436" w:rsidRPr="001B5A51">
        <w:rPr>
          <w:rFonts w:ascii="Times New Roman" w:hAnsi="Times New Roman"/>
          <w:b/>
          <w:sz w:val="28"/>
          <w:lang w:val="fr-FR"/>
        </w:rPr>
        <w:t>18 décembre 1997</w:t>
      </w:r>
      <w:r w:rsidR="002A5436" w:rsidRPr="001B5A51">
        <w:rPr>
          <w:rFonts w:ascii="Times New Roman" w:hAnsi="Times New Roman"/>
          <w:sz w:val="28"/>
          <w:lang w:val="fr-FR"/>
        </w:rPr>
        <w:t xml:space="preserve">, </w:t>
      </w:r>
      <w:r w:rsidRPr="001B5A51">
        <w:rPr>
          <w:rFonts w:ascii="Times New Roman" w:hAnsi="Times New Roman"/>
          <w:sz w:val="28"/>
          <w:szCs w:val="20"/>
          <w:lang w:val="fr-FR"/>
        </w:rPr>
        <w:t> </w:t>
      </w:r>
    </w:p>
    <w:p w:rsidR="004C572B" w:rsidRPr="001B5A51" w:rsidRDefault="002A5436" w:rsidP="003378C9">
      <w:pPr>
        <w:pStyle w:val="ListParagraph"/>
        <w:numPr>
          <w:ilvl w:val="0"/>
          <w:numId w:val="1"/>
        </w:numPr>
        <w:spacing w:before="120"/>
        <w:rPr>
          <w:rFonts w:ascii="Times New Roman" w:hAnsi="Times New Roman"/>
          <w:sz w:val="28"/>
          <w:lang w:val="fr-FR"/>
        </w:rPr>
      </w:pPr>
      <w:r w:rsidRPr="001B5A51">
        <w:rPr>
          <w:rFonts w:ascii="Times New Roman" w:hAnsi="Times New Roman"/>
          <w:sz w:val="28"/>
          <w:lang w:val="fr-FR"/>
        </w:rPr>
        <w:t xml:space="preserve">confimée en dernier lieu par les arrêts </w:t>
      </w:r>
      <w:r w:rsidR="00574F17" w:rsidRPr="001B5A51">
        <w:rPr>
          <w:rFonts w:ascii="Times New Roman" w:hAnsi="Times New Roman"/>
          <w:b/>
          <w:sz w:val="28"/>
          <w:lang w:val="fr-FR"/>
        </w:rPr>
        <w:t xml:space="preserve">Iida </w:t>
      </w:r>
      <w:r w:rsidR="004C572B" w:rsidRPr="001B5A51">
        <w:rPr>
          <w:rFonts w:ascii="Times New Roman" w:hAnsi="Times New Roman"/>
          <w:b/>
          <w:sz w:val="28"/>
          <w:lang w:val="fr-FR"/>
        </w:rPr>
        <w:t>du 8 novembre 2012</w:t>
      </w:r>
      <w:r w:rsidR="004C572B" w:rsidRPr="001B5A51">
        <w:rPr>
          <w:rFonts w:ascii="Times New Roman" w:hAnsi="Times New Roman"/>
          <w:sz w:val="28"/>
          <w:lang w:val="fr-FR"/>
        </w:rPr>
        <w:t>, point 79 « Afin de déterminer si le refus des autorités allemandes d’accorder à M. Iida la «carte de séjour de membre de la famille d’un citoyen de l’Union» relève de la mise en œuvre du droit de l’Union au sens de l’article 51 de la Charte, il y a lieu de vérifier, parmi d’autres éléments, si la réglementation nationale en cause a pour but de mettre en œuvre une disposition du droit de l’Union, le caractère de cette réglementation et si celle-ci poursuit des objectifs autres que ceux couverts par le droit de l’Union, même si elle est susceptible d’affecter indirectement ce dernier, ainsi que s’il existe une réglementation du droit de l’Union spécifique en la matière ou susceptible de l’affecter (voir arrêt du 18 décembre 1997, Annibaldi, C-309/96, Rec. p. I</w:t>
      </w:r>
      <w:r w:rsidR="004C572B" w:rsidRPr="001B5A51">
        <w:rPr>
          <w:rFonts w:ascii="Times New Roman" w:hAnsi="Times New Roman"/>
          <w:sz w:val="28"/>
          <w:lang w:val="fr-FR"/>
        </w:rPr>
        <w:noBreakHyphen/>
        <w:t>7493, points 21 à 23)</w:t>
      </w:r>
    </w:p>
    <w:p w:rsidR="004C572B" w:rsidRPr="001B5A51" w:rsidRDefault="00574F17" w:rsidP="003378C9">
      <w:pPr>
        <w:pStyle w:val="ListParagraph"/>
        <w:numPr>
          <w:ilvl w:val="0"/>
          <w:numId w:val="1"/>
        </w:numPr>
        <w:spacing w:before="120"/>
        <w:rPr>
          <w:rFonts w:ascii="Times New Roman" w:hAnsi="Times New Roman"/>
          <w:sz w:val="28"/>
          <w:lang w:val="fr-FR"/>
        </w:rPr>
      </w:pPr>
      <w:r w:rsidRPr="001B5A51">
        <w:rPr>
          <w:rFonts w:ascii="Times New Roman" w:hAnsi="Times New Roman"/>
          <w:sz w:val="28"/>
          <w:lang w:val="fr-FR"/>
        </w:rPr>
        <w:t xml:space="preserve">et en dernier lieu </w:t>
      </w:r>
      <w:r w:rsidRPr="001B5A51">
        <w:rPr>
          <w:rFonts w:ascii="Times New Roman" w:hAnsi="Times New Roman"/>
          <w:b/>
          <w:sz w:val="28"/>
          <w:lang w:val="fr-FR"/>
        </w:rPr>
        <w:t>Ymeraga 8.5.2013</w:t>
      </w:r>
      <w:r w:rsidR="004C572B" w:rsidRPr="001B5A51">
        <w:rPr>
          <w:rFonts w:ascii="Times New Roman" w:hAnsi="Times New Roman"/>
          <w:b/>
          <w:sz w:val="28"/>
          <w:lang w:val="fr-FR"/>
        </w:rPr>
        <w:t>, point 41.</w:t>
      </w:r>
    </w:p>
    <w:p w:rsidR="00574F17" w:rsidRPr="001B5A51" w:rsidRDefault="00574F17" w:rsidP="003378C9">
      <w:pPr>
        <w:pStyle w:val="ListParagraph"/>
        <w:spacing w:before="120"/>
        <w:rPr>
          <w:rFonts w:ascii="Times New Roman" w:hAnsi="Times New Roman"/>
          <w:sz w:val="28"/>
          <w:lang w:val="fr-FR"/>
        </w:rPr>
      </w:pPr>
    </w:p>
    <w:p w:rsidR="004C572B" w:rsidRPr="001B5A51" w:rsidRDefault="004C572B" w:rsidP="003378C9">
      <w:pPr>
        <w:pStyle w:val="ListParagraph"/>
        <w:spacing w:before="120"/>
        <w:rPr>
          <w:rFonts w:ascii="Times New Roman" w:hAnsi="Times New Roman"/>
          <w:b/>
          <w:sz w:val="28"/>
          <w:lang w:val="fr-FR"/>
        </w:rPr>
      </w:pPr>
      <w:r w:rsidRPr="001B5A51">
        <w:rPr>
          <w:rFonts w:ascii="Times New Roman" w:hAnsi="Times New Roman"/>
          <w:b/>
          <w:sz w:val="28"/>
          <w:lang w:val="fr-FR"/>
        </w:rPr>
        <w:t xml:space="preserve">2° </w:t>
      </w:r>
      <w:r w:rsidR="00574F17" w:rsidRPr="001B5A51">
        <w:rPr>
          <w:rFonts w:ascii="Times New Roman" w:hAnsi="Times New Roman"/>
          <w:b/>
          <w:sz w:val="28"/>
          <w:lang w:val="fr-FR"/>
        </w:rPr>
        <w:t xml:space="preserve">la flexibilité conditionnelle admise par l’arrêt Melloni </w:t>
      </w:r>
      <w:r w:rsidR="005A7ADE" w:rsidRPr="001B5A51">
        <w:rPr>
          <w:rFonts w:ascii="Times New Roman" w:hAnsi="Times New Roman"/>
          <w:b/>
          <w:sz w:val="28"/>
          <w:lang w:val="fr-FR"/>
        </w:rPr>
        <w:t xml:space="preserve">du 26 février 2013, </w:t>
      </w:r>
      <w:r w:rsidR="00574F17" w:rsidRPr="001B5A51">
        <w:rPr>
          <w:rFonts w:ascii="Times New Roman" w:hAnsi="Times New Roman"/>
          <w:b/>
          <w:sz w:val="28"/>
          <w:lang w:val="fr-FR"/>
        </w:rPr>
        <w:t>pt. 60</w:t>
      </w:r>
      <w:r w:rsidR="00FC789E" w:rsidRPr="001B5A51">
        <w:rPr>
          <w:rFonts w:ascii="Times New Roman" w:hAnsi="Times New Roman"/>
          <w:b/>
          <w:sz w:val="28"/>
          <w:lang w:val="fr-FR"/>
        </w:rPr>
        <w:t xml:space="preserve"> : </w:t>
      </w:r>
      <w:r w:rsidR="00A22F09" w:rsidRPr="001B5A51">
        <w:rPr>
          <w:rFonts w:ascii="Times New Roman" w:hAnsi="Times New Roman"/>
          <w:sz w:val="28"/>
          <w:lang w:val="fr-FR"/>
        </w:rPr>
        <w:t>“</w:t>
      </w:r>
      <w:r w:rsidR="00FC789E" w:rsidRPr="001B5A51">
        <w:rPr>
          <w:rFonts w:ascii="Times New Roman" w:hAnsi="Times New Roman"/>
          <w:sz w:val="28"/>
          <w:lang w:val="fr-FR"/>
        </w:rPr>
        <w:t>l’article 53 de la Charte confirme que, lorsqu’un acte du droit de l’Union appelle des mesures nationales de mise en œuvre, il reste loisible aux autorités et aux juridictions nationales d’appliquer des standards nationaux de protection des droits fondamentaux, pourvu que cette application ne compromette pas le niveau de protection prévu par la Charte, telle qu’interprétée par la Cour, ni la primauté, l’unité et l’effectivité du droit de l’Union</w:t>
      </w:r>
      <w:r w:rsidR="00A22F09" w:rsidRPr="001B5A51">
        <w:rPr>
          <w:rFonts w:ascii="Times New Roman" w:hAnsi="Times New Roman"/>
          <w:sz w:val="28"/>
          <w:lang w:val="fr-FR"/>
        </w:rPr>
        <w:t>.”</w:t>
      </w:r>
    </w:p>
    <w:p w:rsidR="006F1515" w:rsidRPr="001B5A51" w:rsidRDefault="006F1515" w:rsidP="003378C9">
      <w:pPr>
        <w:pStyle w:val="ListParagraph"/>
        <w:spacing w:before="120"/>
        <w:rPr>
          <w:rFonts w:ascii="Times New Roman" w:hAnsi="Times New Roman"/>
          <w:sz w:val="28"/>
          <w:lang w:val="fr-FR"/>
        </w:rPr>
      </w:pPr>
    </w:p>
    <w:p w:rsidR="006F1515" w:rsidRPr="001B5A51" w:rsidRDefault="006F1515" w:rsidP="003378C9">
      <w:pPr>
        <w:pStyle w:val="ListParagraph"/>
        <w:spacing w:before="120"/>
        <w:rPr>
          <w:rFonts w:ascii="Times New Roman" w:hAnsi="Times New Roman"/>
          <w:sz w:val="28"/>
          <w:lang w:val="fr-FR"/>
        </w:rPr>
      </w:pPr>
      <w:r w:rsidRPr="001B5A51">
        <w:rPr>
          <w:rFonts w:ascii="Times New Roman" w:hAnsi="Times New Roman"/>
          <w:sz w:val="28"/>
          <w:lang w:val="fr-FR"/>
        </w:rPr>
        <w:t xml:space="preserve">1 Précision limitative dans </w:t>
      </w:r>
      <w:r w:rsidRPr="001B5A51">
        <w:rPr>
          <w:rFonts w:ascii="Times New Roman" w:hAnsi="Times New Roman"/>
          <w:b/>
          <w:sz w:val="28"/>
          <w:lang w:val="fr-FR"/>
        </w:rPr>
        <w:t>Akerberg Fransson</w:t>
      </w:r>
      <w:r w:rsidRPr="001B5A51">
        <w:rPr>
          <w:rFonts w:ascii="Times New Roman" w:hAnsi="Times New Roman"/>
          <w:sz w:val="28"/>
          <w:lang w:val="fr-FR"/>
        </w:rPr>
        <w:t xml:space="preserve">, point 29 : </w:t>
      </w:r>
      <w:r w:rsidRPr="001B5A51">
        <w:rPr>
          <w:rFonts w:ascii="Times New Roman" w:hAnsi="Times New Roman"/>
          <w:sz w:val="28"/>
          <w:lang w:val="fr-FR"/>
        </w:rPr>
        <w:br/>
        <w:t>« l</w:t>
      </w:r>
      <w:r w:rsidRPr="001B5A51">
        <w:rPr>
          <w:rFonts w:ascii="Times New Roman" w:hAnsi="Times New Roman"/>
        </w:rPr>
        <w:t xml:space="preserve">orsqu’une juridiction d’un État membre est appelée à contrôler la conformité aux droits fondamentaux d’une disposition ou d’une mesure nationale qui, </w:t>
      </w:r>
      <w:r w:rsidRPr="001B5A51">
        <w:rPr>
          <w:rFonts w:ascii="Times New Roman" w:hAnsi="Times New Roman"/>
          <w:b/>
        </w:rPr>
        <w:t>dans une situation dans laquelle l’action des États membres n’est pas entièrement déterminée par le droit de l’Union</w:t>
      </w:r>
      <w:r w:rsidRPr="001B5A51">
        <w:rPr>
          <w:rFonts w:ascii="Times New Roman" w:hAnsi="Times New Roman"/>
        </w:rPr>
        <w:t>, met en œuvre ce droit au sens de l’article 51, paragraphe 1, de la Charte”</w:t>
      </w:r>
    </w:p>
    <w:p w:rsidR="00574F17" w:rsidRPr="001B5A51" w:rsidRDefault="00574F17" w:rsidP="003378C9">
      <w:pPr>
        <w:pStyle w:val="ListParagraph"/>
        <w:spacing w:before="120"/>
        <w:rPr>
          <w:rFonts w:ascii="Times New Roman" w:hAnsi="Times New Roman"/>
          <w:sz w:val="28"/>
          <w:lang w:val="fr-FR"/>
        </w:rPr>
      </w:pPr>
    </w:p>
    <w:p w:rsidR="004C572B" w:rsidRPr="001B5A51" w:rsidRDefault="004C572B" w:rsidP="003378C9">
      <w:pPr>
        <w:pStyle w:val="ListParagraph"/>
        <w:spacing w:before="120"/>
        <w:rPr>
          <w:rFonts w:ascii="Times New Roman" w:hAnsi="Times New Roman"/>
          <w:b/>
          <w:sz w:val="28"/>
          <w:lang w:val="fr-FR"/>
        </w:rPr>
      </w:pPr>
      <w:r w:rsidRPr="001B5A51">
        <w:rPr>
          <w:rFonts w:ascii="Times New Roman" w:hAnsi="Times New Roman"/>
          <w:b/>
          <w:sz w:val="28"/>
          <w:lang w:val="fr-FR"/>
        </w:rPr>
        <w:t xml:space="preserve">3° </w:t>
      </w:r>
      <w:r w:rsidR="00574F17" w:rsidRPr="001B5A51">
        <w:rPr>
          <w:rFonts w:ascii="Times New Roman" w:hAnsi="Times New Roman"/>
          <w:b/>
          <w:sz w:val="28"/>
          <w:lang w:val="fr-FR"/>
        </w:rPr>
        <w:t>l’exception de l’identité constitutionnelle</w:t>
      </w:r>
      <w:r w:rsidR="0067507B" w:rsidRPr="001B5A51">
        <w:rPr>
          <w:rFonts w:ascii="Times New Roman" w:hAnsi="Times New Roman"/>
          <w:b/>
          <w:sz w:val="28"/>
          <w:lang w:val="fr-FR"/>
        </w:rPr>
        <w:t xml:space="preserve"> article 4 TUE</w:t>
      </w:r>
    </w:p>
    <w:p w:rsidR="004C572B" w:rsidRPr="001B5A51" w:rsidRDefault="00E149A1" w:rsidP="006F1515">
      <w:pPr>
        <w:spacing w:before="120"/>
        <w:ind w:firstLine="720"/>
        <w:rPr>
          <w:rFonts w:ascii="Times New Roman" w:hAnsi="Times New Roman"/>
          <w:sz w:val="28"/>
          <w:lang w:val="fr-FR"/>
        </w:rPr>
      </w:pPr>
      <w:r w:rsidRPr="001B5A51">
        <w:rPr>
          <w:rFonts w:ascii="Times New Roman" w:hAnsi="Times New Roman"/>
          <w:sz w:val="28"/>
          <w:lang w:val="fr-FR"/>
        </w:rPr>
        <w:t>ex. Omega</w:t>
      </w:r>
      <w:r w:rsidR="00B9493A" w:rsidRPr="001B5A51">
        <w:rPr>
          <w:rFonts w:ascii="Times New Roman" w:hAnsi="Times New Roman"/>
          <w:sz w:val="28"/>
          <w:lang w:val="fr-FR"/>
        </w:rPr>
        <w:t xml:space="preserve"> 2004</w:t>
      </w:r>
      <w:r w:rsidRPr="001B5A51">
        <w:rPr>
          <w:rFonts w:ascii="Times New Roman" w:hAnsi="Times New Roman"/>
          <w:sz w:val="28"/>
          <w:lang w:val="fr-FR"/>
        </w:rPr>
        <w:t>, Sayn-Wittgenstein</w:t>
      </w:r>
      <w:r w:rsidR="00B9493A" w:rsidRPr="001B5A51">
        <w:rPr>
          <w:rFonts w:ascii="Times New Roman" w:hAnsi="Times New Roman"/>
          <w:sz w:val="28"/>
          <w:lang w:val="fr-FR"/>
        </w:rPr>
        <w:t xml:space="preserve"> 2010</w:t>
      </w:r>
    </w:p>
    <w:p w:rsidR="00E149A1" w:rsidRPr="001B5A51" w:rsidRDefault="00E149A1" w:rsidP="003378C9">
      <w:pPr>
        <w:pStyle w:val="ListParagraph"/>
        <w:spacing w:before="120"/>
        <w:rPr>
          <w:rFonts w:ascii="Times New Roman" w:hAnsi="Times New Roman"/>
          <w:sz w:val="28"/>
          <w:lang w:val="fr-FR"/>
        </w:rPr>
      </w:pPr>
    </w:p>
    <w:p w:rsidR="00281340" w:rsidRPr="001B5A51" w:rsidRDefault="00281340" w:rsidP="003378C9">
      <w:pPr>
        <w:pStyle w:val="ListParagraph"/>
        <w:spacing w:before="120"/>
        <w:rPr>
          <w:rFonts w:ascii="Times New Roman" w:hAnsi="Times New Roman"/>
          <w:sz w:val="28"/>
          <w:lang w:val="fr-FR"/>
        </w:rPr>
      </w:pPr>
      <w:r w:rsidRPr="001B5A51">
        <w:rPr>
          <w:rFonts w:ascii="Times New Roman" w:hAnsi="Times New Roman"/>
          <w:sz w:val="28"/>
          <w:lang w:val="fr-FR"/>
        </w:rPr>
        <w:t>Les réactions de la BVerfG n’ont pas tardées :</w:t>
      </w:r>
    </w:p>
    <w:p w:rsidR="00574F17" w:rsidRPr="001B5A51" w:rsidRDefault="00574F17" w:rsidP="003378C9">
      <w:pPr>
        <w:pStyle w:val="ListParagraph"/>
        <w:spacing w:before="120"/>
        <w:rPr>
          <w:rFonts w:ascii="Times New Roman" w:hAnsi="Times New Roman"/>
          <w:sz w:val="28"/>
          <w:lang w:val="fr-FR"/>
        </w:rPr>
      </w:pPr>
    </w:p>
    <w:p w:rsidR="00B9493A" w:rsidRPr="001B5A51" w:rsidRDefault="00574F17" w:rsidP="003378C9">
      <w:pPr>
        <w:pStyle w:val="Heading4"/>
        <w:spacing w:before="120"/>
        <w:rPr>
          <w:szCs w:val="24"/>
          <w:lang w:val="fr-FR"/>
        </w:rPr>
      </w:pPr>
      <w:r w:rsidRPr="001B5A51">
        <w:rPr>
          <w:szCs w:val="24"/>
          <w:lang w:val="fr-FR"/>
        </w:rPr>
        <w:t>2. La position du BVerfG quant à l’applicabilité de la Charte</w:t>
      </w:r>
    </w:p>
    <w:p w:rsidR="00B9493A" w:rsidRPr="001B5A51" w:rsidRDefault="00B9493A" w:rsidP="00B9493A">
      <w:pPr>
        <w:rPr>
          <w:rFonts w:ascii="Times New Roman" w:hAnsi="Times New Roman"/>
          <w:sz w:val="28"/>
          <w:lang w:val="fr-FR"/>
        </w:rPr>
      </w:pPr>
    </w:p>
    <w:p w:rsidR="001B5A51" w:rsidRDefault="00B9493A" w:rsidP="00B9493A">
      <w:pPr>
        <w:rPr>
          <w:rFonts w:ascii="Times New Roman" w:hAnsi="Times New Roman"/>
          <w:sz w:val="28"/>
          <w:lang w:val="fr-FR"/>
        </w:rPr>
      </w:pPr>
      <w:r w:rsidRPr="001B5A51">
        <w:rPr>
          <w:rFonts w:ascii="Times New Roman" w:hAnsi="Times New Roman"/>
          <w:b/>
          <w:sz w:val="28"/>
          <w:lang w:val="fr-FR"/>
        </w:rPr>
        <w:t>3 décisions</w:t>
      </w:r>
      <w:r w:rsidRPr="001B5A51">
        <w:rPr>
          <w:rFonts w:ascii="Times New Roman" w:hAnsi="Times New Roman"/>
          <w:sz w:val="28"/>
          <w:lang w:val="fr-FR"/>
        </w:rPr>
        <w:t xml:space="preserve"> </w:t>
      </w:r>
      <w:r w:rsidR="001B5A51">
        <w:rPr>
          <w:rFonts w:ascii="Times New Roman" w:hAnsi="Times New Roman"/>
          <w:sz w:val="28"/>
          <w:lang w:val="fr-FR"/>
        </w:rPr>
        <w:t>ou la question n’a joué que de manière marginale et incidente mais donnant lieu à des propos significatifs</w:t>
      </w:r>
      <w:r w:rsidRPr="001B5A51">
        <w:rPr>
          <w:rFonts w:ascii="Times New Roman" w:hAnsi="Times New Roman"/>
          <w:sz w:val="28"/>
          <w:lang w:val="fr-FR"/>
        </w:rPr>
        <w:t xml:space="preserve"> pour la position du BVerfG </w:t>
      </w:r>
    </w:p>
    <w:p w:rsidR="00B9493A" w:rsidRPr="001B5A51" w:rsidRDefault="00B9493A" w:rsidP="00B9493A">
      <w:pPr>
        <w:rPr>
          <w:rFonts w:ascii="Times New Roman" w:hAnsi="Times New Roman"/>
          <w:sz w:val="28"/>
          <w:lang w:val="fr-FR"/>
        </w:rPr>
      </w:pPr>
      <w:r w:rsidRPr="001B5A51">
        <w:rPr>
          <w:rFonts w:ascii="Times New Roman" w:hAnsi="Times New Roman"/>
          <w:sz w:val="28"/>
          <w:lang w:val="fr-FR"/>
        </w:rPr>
        <w:t xml:space="preserve">et </w:t>
      </w:r>
      <w:r w:rsidRPr="001B5A51">
        <w:rPr>
          <w:rFonts w:ascii="Times New Roman" w:hAnsi="Times New Roman"/>
          <w:b/>
          <w:sz w:val="28"/>
          <w:lang w:val="fr-FR"/>
        </w:rPr>
        <w:t>une décision</w:t>
      </w:r>
      <w:r w:rsidRPr="001B5A51">
        <w:rPr>
          <w:rFonts w:ascii="Times New Roman" w:hAnsi="Times New Roman"/>
          <w:sz w:val="28"/>
          <w:lang w:val="fr-FR"/>
        </w:rPr>
        <w:t xml:space="preserve"> d’opposition frontale</w:t>
      </w:r>
      <w:r w:rsidR="001B5A51" w:rsidRPr="001B5A51">
        <w:rPr>
          <w:rFonts w:ascii="Times New Roman" w:hAnsi="Times New Roman"/>
          <w:sz w:val="28"/>
          <w:lang w:val="fr-FR"/>
        </w:rPr>
        <w:t xml:space="preserve"> (</w:t>
      </w:r>
      <w:r w:rsidR="001B5A51" w:rsidRPr="001B5A51">
        <w:rPr>
          <w:rFonts w:ascii="Times New Roman" w:hAnsi="Times New Roman"/>
          <w:i/>
          <w:sz w:val="28"/>
          <w:lang w:val="fr-FR"/>
        </w:rPr>
        <w:t>le retour du Jedi </w:t>
      </w:r>
      <w:r w:rsidR="001B5A51" w:rsidRPr="001B5A51">
        <w:rPr>
          <w:rFonts w:ascii="Times New Roman" w:hAnsi="Times New Roman"/>
          <w:sz w:val="28"/>
          <w:lang w:val="fr-FR"/>
        </w:rPr>
        <w:t>?)</w:t>
      </w:r>
    </w:p>
    <w:p w:rsidR="00574F17" w:rsidRPr="001B5A51" w:rsidRDefault="00574F17" w:rsidP="00B9493A">
      <w:pPr>
        <w:rPr>
          <w:rFonts w:ascii="Times New Roman" w:hAnsi="Times New Roman"/>
          <w:sz w:val="28"/>
          <w:lang w:val="fr-FR"/>
        </w:rPr>
      </w:pPr>
    </w:p>
    <w:p w:rsidR="00574F17" w:rsidRPr="001B5A51" w:rsidRDefault="00574F17" w:rsidP="003378C9">
      <w:pPr>
        <w:pStyle w:val="Heading5"/>
        <w:spacing w:before="120"/>
        <w:ind w:left="360"/>
        <w:rPr>
          <w:rFonts w:ascii="Times New Roman" w:hAnsi="Times New Roman"/>
          <w:sz w:val="28"/>
          <w:szCs w:val="24"/>
          <w:lang w:val="fr-FR"/>
        </w:rPr>
      </w:pPr>
      <w:r w:rsidRPr="001B5A51">
        <w:rPr>
          <w:rFonts w:ascii="Times New Roman" w:hAnsi="Times New Roman"/>
          <w:sz w:val="28"/>
          <w:szCs w:val="24"/>
          <w:lang w:val="fr-FR"/>
        </w:rPr>
        <w:t>19 juillet 2011, « meubles Le Corbusier », (1 BvR 1916/09)</w:t>
      </w:r>
      <w:r w:rsidR="002C4ACE" w:rsidRPr="001B5A51">
        <w:rPr>
          <w:rFonts w:ascii="Times New Roman" w:hAnsi="Times New Roman"/>
          <w:sz w:val="28"/>
          <w:szCs w:val="24"/>
          <w:lang w:val="fr-FR"/>
        </w:rPr>
        <w:t>, erster Senat</w:t>
      </w:r>
    </w:p>
    <w:p w:rsidR="00F47CED" w:rsidRPr="001B5A51" w:rsidRDefault="00574F17" w:rsidP="003378C9">
      <w:pPr>
        <w:spacing w:before="120"/>
        <w:ind w:left="720"/>
        <w:rPr>
          <w:rFonts w:ascii="Times New Roman" w:hAnsi="Times New Roman"/>
          <w:sz w:val="28"/>
          <w:lang w:val="fr-FR"/>
        </w:rPr>
      </w:pPr>
      <w:r w:rsidRPr="001B5A51">
        <w:rPr>
          <w:rFonts w:ascii="Times New Roman" w:hAnsi="Times New Roman"/>
          <w:sz w:val="28"/>
          <w:lang w:val="fr-FR"/>
        </w:rPr>
        <w:t xml:space="preserve">Applicabilité </w:t>
      </w:r>
      <w:r w:rsidR="006103E1" w:rsidRPr="001B5A51">
        <w:rPr>
          <w:rFonts w:ascii="Times New Roman" w:hAnsi="Times New Roman"/>
          <w:sz w:val="28"/>
          <w:lang w:val="fr-FR"/>
        </w:rPr>
        <w:t>et obligation d’appliquer l</w:t>
      </w:r>
      <w:r w:rsidRPr="001B5A51">
        <w:rPr>
          <w:rFonts w:ascii="Times New Roman" w:hAnsi="Times New Roman"/>
          <w:sz w:val="28"/>
          <w:lang w:val="fr-FR"/>
        </w:rPr>
        <w:t>es droits fondamentaux de la loi fondamentale si le droit de l’Union laisse une marge de manœuvre dans la transposition d’une directive</w:t>
      </w:r>
    </w:p>
    <w:p w:rsidR="00574F17" w:rsidRPr="001B5A51" w:rsidRDefault="00F47CED" w:rsidP="003378C9">
      <w:pPr>
        <w:spacing w:before="120"/>
        <w:ind w:left="720"/>
        <w:rPr>
          <w:rFonts w:ascii="Times New Roman" w:hAnsi="Times New Roman"/>
          <w:sz w:val="28"/>
          <w:lang w:val="fr-FR"/>
        </w:rPr>
      </w:pPr>
      <w:r w:rsidRPr="001B5A51">
        <w:rPr>
          <w:rFonts w:ascii="Times New Roman" w:hAnsi="Times New Roman"/>
          <w:sz w:val="28"/>
          <w:lang w:val="fr-FR"/>
        </w:rPr>
        <w:t>Les droits fondamentaux du GG serai</w:t>
      </w:r>
      <w:r w:rsidR="005331A9">
        <w:rPr>
          <w:rFonts w:ascii="Times New Roman" w:hAnsi="Times New Roman"/>
          <w:sz w:val="28"/>
          <w:lang w:val="fr-FR"/>
        </w:rPr>
        <w:t>en</w:t>
      </w:r>
      <w:r w:rsidRPr="001B5A51">
        <w:rPr>
          <w:rFonts w:ascii="Times New Roman" w:hAnsi="Times New Roman"/>
          <w:sz w:val="28"/>
          <w:lang w:val="fr-FR"/>
        </w:rPr>
        <w:t>t cependant inapplicable</w:t>
      </w:r>
      <w:r w:rsidR="005331A9">
        <w:rPr>
          <w:rFonts w:ascii="Times New Roman" w:hAnsi="Times New Roman"/>
          <w:sz w:val="28"/>
          <w:lang w:val="fr-FR"/>
        </w:rPr>
        <w:t>s</w:t>
      </w:r>
      <w:r w:rsidRPr="001B5A51">
        <w:rPr>
          <w:rFonts w:ascii="Times New Roman" w:hAnsi="Times New Roman"/>
          <w:sz w:val="28"/>
          <w:lang w:val="fr-FR"/>
        </w:rPr>
        <w:t xml:space="preserve"> lorsqu’il s’agit de la transposition de règles de droit de l’Union qui réalisent une harmonisation complète « vollharmonisierend »</w:t>
      </w:r>
    </w:p>
    <w:p w:rsidR="00574F17" w:rsidRPr="001B5A51" w:rsidRDefault="00574F17" w:rsidP="003378C9">
      <w:pPr>
        <w:spacing w:before="120"/>
        <w:ind w:left="720"/>
        <w:rPr>
          <w:rFonts w:ascii="Times New Roman" w:hAnsi="Times New Roman"/>
          <w:sz w:val="28"/>
          <w:lang w:val="fr-FR"/>
        </w:rPr>
      </w:pPr>
      <w:r w:rsidRPr="001B5A51">
        <w:rPr>
          <w:rFonts w:ascii="Times New Roman" w:hAnsi="Times New Roman"/>
          <w:sz w:val="28"/>
          <w:lang w:val="fr-FR"/>
        </w:rPr>
        <w:t>Contra : arrêt NS de la Cour</w:t>
      </w:r>
      <w:r w:rsidR="00D92867" w:rsidRPr="001B5A51">
        <w:rPr>
          <w:rFonts w:ascii="Times New Roman" w:hAnsi="Times New Roman"/>
          <w:sz w:val="28"/>
          <w:lang w:val="fr-FR"/>
        </w:rPr>
        <w:t> !</w:t>
      </w:r>
    </w:p>
    <w:p w:rsidR="00574F17" w:rsidRPr="001B5A51" w:rsidRDefault="00574F17" w:rsidP="003378C9">
      <w:pPr>
        <w:pStyle w:val="Heading5"/>
        <w:spacing w:before="120"/>
        <w:ind w:left="360"/>
        <w:rPr>
          <w:rFonts w:ascii="Times New Roman" w:hAnsi="Times New Roman"/>
          <w:sz w:val="28"/>
          <w:szCs w:val="24"/>
          <w:lang w:val="fr-FR"/>
        </w:rPr>
      </w:pPr>
      <w:r w:rsidRPr="001B5A51">
        <w:rPr>
          <w:rFonts w:ascii="Times New Roman" w:hAnsi="Times New Roman"/>
          <w:sz w:val="28"/>
          <w:szCs w:val="24"/>
          <w:lang w:val="fr-FR"/>
        </w:rPr>
        <w:t>15 décembre 2011, « ne bis in idem », (« 2 BvR 148/11)</w:t>
      </w:r>
    </w:p>
    <w:p w:rsidR="007D563A" w:rsidRPr="001B5A51" w:rsidRDefault="00CD2FD5" w:rsidP="003378C9">
      <w:pPr>
        <w:spacing w:before="120"/>
        <w:ind w:left="360"/>
        <w:rPr>
          <w:rFonts w:ascii="Times New Roman" w:hAnsi="Times New Roman"/>
          <w:sz w:val="28"/>
          <w:lang w:val="fr-FR"/>
        </w:rPr>
      </w:pPr>
      <w:r w:rsidRPr="001B5A51">
        <w:rPr>
          <w:rFonts w:ascii="Times New Roman" w:hAnsi="Times New Roman"/>
          <w:sz w:val="28"/>
          <w:lang w:val="fr-FR"/>
        </w:rPr>
        <w:t xml:space="preserve">point 40 : l’applicabilité de la Charte ne résulte pas </w:t>
      </w:r>
      <w:r w:rsidR="007D563A" w:rsidRPr="001B5A51">
        <w:rPr>
          <w:rFonts w:ascii="Times New Roman" w:hAnsi="Times New Roman"/>
          <w:sz w:val="28"/>
          <w:lang w:val="fr-FR"/>
        </w:rPr>
        <w:t>automatiquement de l’entrée en vigueur du traité de Lisbonne, son champ d’application doit être ouvert</w:t>
      </w:r>
    </w:p>
    <w:p w:rsidR="00CD2FD5" w:rsidRPr="001B5A51" w:rsidRDefault="007D563A" w:rsidP="003378C9">
      <w:pPr>
        <w:spacing w:before="120"/>
        <w:ind w:left="360"/>
        <w:rPr>
          <w:rFonts w:ascii="Times New Roman" w:hAnsi="Times New Roman"/>
          <w:sz w:val="28"/>
          <w:lang w:val="fr-FR"/>
        </w:rPr>
      </w:pPr>
      <w:r w:rsidRPr="001B5A51">
        <w:rPr>
          <w:rFonts w:ascii="Times New Roman" w:hAnsi="Times New Roman"/>
          <w:sz w:val="28"/>
          <w:lang w:val="fr-FR"/>
        </w:rPr>
        <w:t>il doit s’agir de la mise en œuvre d’autres dispositions du droit de l’Union que celui de la Charte (raisonnement circulaire)</w:t>
      </w:r>
    </w:p>
    <w:p w:rsidR="00574F17" w:rsidRPr="001B5A51" w:rsidRDefault="00574F17" w:rsidP="003378C9">
      <w:pPr>
        <w:spacing w:before="120"/>
        <w:ind w:left="360"/>
        <w:rPr>
          <w:rFonts w:ascii="Times New Roman" w:hAnsi="Times New Roman"/>
          <w:sz w:val="28"/>
          <w:lang w:val="fr-FR"/>
        </w:rPr>
      </w:pPr>
      <w:r w:rsidRPr="001B5A51">
        <w:rPr>
          <w:rFonts w:ascii="Times New Roman" w:hAnsi="Times New Roman"/>
          <w:sz w:val="28"/>
          <w:lang w:val="fr-FR"/>
        </w:rPr>
        <w:t>Vérification de l’applicabilité de la Charte</w:t>
      </w:r>
      <w:r w:rsidR="004E348B" w:rsidRPr="001B5A51">
        <w:rPr>
          <w:rFonts w:ascii="Times New Roman" w:hAnsi="Times New Roman"/>
          <w:sz w:val="28"/>
          <w:lang w:val="fr-FR"/>
        </w:rPr>
        <w:t xml:space="preserve"> doit être faite par les juridictions ordinaires sur la base de l’article 51 par. 1 et implique l’existence de règles du droit de l’Union </w:t>
      </w:r>
    </w:p>
    <w:p w:rsidR="00574F17" w:rsidRPr="001B5A51" w:rsidRDefault="00574F17" w:rsidP="003378C9">
      <w:pPr>
        <w:pStyle w:val="Heading5"/>
        <w:spacing w:before="120"/>
        <w:ind w:left="360"/>
        <w:rPr>
          <w:rFonts w:ascii="Times New Roman" w:hAnsi="Times New Roman"/>
          <w:sz w:val="28"/>
          <w:szCs w:val="24"/>
          <w:lang w:val="fr-FR"/>
        </w:rPr>
      </w:pPr>
      <w:r w:rsidRPr="001B5A51">
        <w:rPr>
          <w:rFonts w:ascii="Times New Roman" w:hAnsi="Times New Roman"/>
          <w:sz w:val="28"/>
          <w:lang w:val="fr-FR"/>
        </w:rPr>
        <w:t>15 décembre 2011, « AnyDVD », (1 BvR 1248/11)</w:t>
      </w:r>
    </w:p>
    <w:p w:rsidR="00574F17" w:rsidRPr="001B5A51" w:rsidRDefault="00574F17" w:rsidP="00CD2FD5">
      <w:pPr>
        <w:rPr>
          <w:rFonts w:ascii="Times New Roman" w:hAnsi="Times New Roman"/>
          <w:sz w:val="28"/>
          <w:szCs w:val="17"/>
          <w:lang w:val="fr-FR"/>
        </w:rPr>
      </w:pPr>
      <w:r w:rsidRPr="001B5A51">
        <w:rPr>
          <w:rFonts w:ascii="Times New Roman" w:hAnsi="Times New Roman"/>
          <w:sz w:val="28"/>
          <w:lang w:val="fr-FR"/>
        </w:rPr>
        <w:t xml:space="preserve">Mise en balance de </w:t>
      </w:r>
      <w:r w:rsidR="004E348B" w:rsidRPr="001B5A51">
        <w:rPr>
          <w:rFonts w:ascii="Times New Roman" w:hAnsi="Times New Roman"/>
          <w:sz w:val="28"/>
          <w:lang w:val="fr-FR"/>
        </w:rPr>
        <w:t xml:space="preserve">différents </w:t>
      </w:r>
      <w:r w:rsidRPr="001B5A51">
        <w:rPr>
          <w:rFonts w:ascii="Times New Roman" w:hAnsi="Times New Roman"/>
          <w:sz w:val="28"/>
          <w:lang w:val="fr-FR"/>
        </w:rPr>
        <w:t xml:space="preserve">droits fondamentaux </w:t>
      </w:r>
      <w:r w:rsidR="004E348B" w:rsidRPr="001B5A51">
        <w:rPr>
          <w:rFonts w:ascii="Times New Roman" w:hAnsi="Times New Roman"/>
          <w:sz w:val="28"/>
          <w:lang w:val="fr-FR"/>
        </w:rPr>
        <w:t xml:space="preserve">doit se faire </w:t>
      </w:r>
      <w:r w:rsidRPr="001B5A51">
        <w:rPr>
          <w:rFonts w:ascii="Times New Roman" w:hAnsi="Times New Roman"/>
          <w:sz w:val="28"/>
          <w:lang w:val="fr-FR"/>
        </w:rPr>
        <w:t xml:space="preserve">au regard </w:t>
      </w:r>
      <w:r w:rsidR="004E348B" w:rsidRPr="001B5A51">
        <w:rPr>
          <w:rFonts w:ascii="Times New Roman" w:hAnsi="Times New Roman"/>
          <w:sz w:val="28"/>
          <w:lang w:val="fr-FR"/>
        </w:rPr>
        <w:t>des exigences établies par</w:t>
      </w:r>
      <w:r w:rsidRPr="001B5A51">
        <w:rPr>
          <w:rFonts w:ascii="Times New Roman" w:hAnsi="Times New Roman"/>
          <w:sz w:val="28"/>
          <w:lang w:val="fr-FR"/>
        </w:rPr>
        <w:t xml:space="preserve"> la Loi fondamentale</w:t>
      </w:r>
      <w:r w:rsidR="00CE13E8" w:rsidRPr="001B5A51">
        <w:rPr>
          <w:rFonts w:ascii="Times New Roman" w:hAnsi="Times New Roman"/>
          <w:sz w:val="28"/>
          <w:lang w:val="fr-FR"/>
        </w:rPr>
        <w:t xml:space="preserve"> si la directive pertinente </w:t>
      </w:r>
      <w:r w:rsidR="00CD2FD5" w:rsidRPr="001B5A51">
        <w:rPr>
          <w:rFonts w:ascii="Times New Roman" w:hAnsi="Times New Roman"/>
          <w:sz w:val="28"/>
          <w:lang w:val="fr-FR"/>
        </w:rPr>
        <w:t xml:space="preserve">(2001/29, </w:t>
      </w:r>
      <w:r w:rsidR="00CD2FD5" w:rsidRPr="001B5A51">
        <w:rPr>
          <w:rFonts w:ascii="Times New Roman" w:hAnsi="Times New Roman"/>
          <w:sz w:val="28"/>
          <w:szCs w:val="17"/>
          <w:lang w:val="fr-FR"/>
        </w:rPr>
        <w:t xml:space="preserve">sur l'harmonisation de certains aspects du droit d'auteur et des droits voisins dans la société de l'information) </w:t>
      </w:r>
      <w:r w:rsidR="00CE13E8" w:rsidRPr="001B5A51">
        <w:rPr>
          <w:rFonts w:ascii="Times New Roman" w:hAnsi="Times New Roman"/>
          <w:sz w:val="28"/>
          <w:lang w:val="fr-FR"/>
        </w:rPr>
        <w:t>ne contient pas une réglementation entrainant une harmonisation complète</w:t>
      </w:r>
      <w:r w:rsidR="00CD2FD5" w:rsidRPr="001B5A51">
        <w:rPr>
          <w:rFonts w:ascii="Times New Roman" w:hAnsi="Times New Roman"/>
          <w:sz w:val="28"/>
          <w:lang w:val="fr-FR"/>
        </w:rPr>
        <w:t xml:space="preserve"> en ce qui concerne la mise en balance du droit d’auteur d’un côté et la liberté d’opinion et de la presse de l’autre,,,</w:t>
      </w:r>
    </w:p>
    <w:p w:rsidR="00574F17" w:rsidRPr="001B5A51" w:rsidRDefault="00574F17" w:rsidP="003378C9">
      <w:pPr>
        <w:pStyle w:val="Heading5"/>
        <w:spacing w:before="120"/>
        <w:ind w:left="360"/>
        <w:rPr>
          <w:rFonts w:ascii="Times New Roman" w:hAnsi="Times New Roman"/>
          <w:sz w:val="28"/>
          <w:lang w:val="fr-FR"/>
        </w:rPr>
      </w:pPr>
      <w:r w:rsidRPr="001B5A51">
        <w:rPr>
          <w:rFonts w:ascii="Times New Roman" w:hAnsi="Times New Roman"/>
          <w:sz w:val="28"/>
          <w:lang w:val="fr-FR"/>
        </w:rPr>
        <w:t>24 avril 2013</w:t>
      </w:r>
      <w:r w:rsidR="00821144" w:rsidRPr="001B5A51">
        <w:rPr>
          <w:rFonts w:ascii="Times New Roman" w:hAnsi="Times New Roman"/>
          <w:sz w:val="28"/>
          <w:lang w:val="fr-FR"/>
        </w:rPr>
        <w:t>, « base de données anti terrorisme</w:t>
      </w:r>
      <w:r w:rsidRPr="001B5A51">
        <w:rPr>
          <w:rFonts w:ascii="Times New Roman" w:hAnsi="Times New Roman"/>
          <w:sz w:val="28"/>
          <w:lang w:val="fr-FR"/>
        </w:rPr>
        <w:t> », (1 BvR 1215/07)</w:t>
      </w:r>
    </w:p>
    <w:p w:rsidR="001A068F" w:rsidRPr="001B5A51" w:rsidRDefault="008E5CDB" w:rsidP="003378C9">
      <w:pPr>
        <w:spacing w:before="120"/>
        <w:rPr>
          <w:rFonts w:ascii="Times New Roman" w:hAnsi="Times New Roman"/>
          <w:i/>
          <w:sz w:val="28"/>
          <w:lang w:val="fr-FR"/>
        </w:rPr>
      </w:pPr>
      <w:r w:rsidRPr="001B5A51">
        <w:rPr>
          <w:rFonts w:ascii="Times New Roman" w:hAnsi="Times New Roman"/>
          <w:i/>
          <w:sz w:val="28"/>
          <w:lang w:val="fr-FR"/>
        </w:rPr>
        <w:t xml:space="preserve">aux </w:t>
      </w:r>
      <w:r w:rsidR="00F712A4" w:rsidRPr="001B5A51">
        <w:rPr>
          <w:rFonts w:ascii="Times New Roman" w:hAnsi="Times New Roman"/>
          <w:i/>
          <w:sz w:val="28"/>
          <w:lang w:val="fr-FR"/>
        </w:rPr>
        <w:t xml:space="preserve">paragraphes </w:t>
      </w:r>
      <w:r w:rsidRPr="001B5A51">
        <w:rPr>
          <w:rFonts w:ascii="Times New Roman" w:hAnsi="Times New Roman"/>
          <w:i/>
          <w:sz w:val="28"/>
          <w:lang w:val="fr-FR"/>
        </w:rPr>
        <w:t>88-90</w:t>
      </w:r>
      <w:r w:rsidR="004E348B" w:rsidRPr="001B5A51">
        <w:rPr>
          <w:rFonts w:ascii="Times New Roman" w:hAnsi="Times New Roman"/>
          <w:i/>
          <w:sz w:val="28"/>
          <w:lang w:val="fr-FR"/>
        </w:rPr>
        <w:t xml:space="preserve"> la BVerfG expose sa vision de l’applicabilité de la CFR :</w:t>
      </w:r>
    </w:p>
    <w:p w:rsidR="000A2F71" w:rsidRPr="001B5A51" w:rsidRDefault="000A2F71" w:rsidP="003378C9">
      <w:pPr>
        <w:spacing w:before="120"/>
        <w:rPr>
          <w:rFonts w:ascii="Times New Roman" w:hAnsi="Times New Roman"/>
          <w:sz w:val="28"/>
          <w:lang w:val="fr-FR"/>
        </w:rPr>
      </w:pPr>
      <w:r w:rsidRPr="001B5A51">
        <w:rPr>
          <w:rFonts w:ascii="Times New Roman" w:hAnsi="Times New Roman"/>
          <w:sz w:val="28"/>
          <w:lang w:val="fr-FR"/>
        </w:rPr>
        <w:t>« Les droits fondamentaux européens de la Charte des droits fondamentaux ne sont pas applicables au cas à décider. Les dispositions attaquées sont à juger à l’aune des droits fondamentaux de la Loi fondamentale déjà pour la raison qu’elles ne sont pas déterminées par le droit de l’Union</w:t>
      </w:r>
      <w:r w:rsidR="004C7B22" w:rsidRPr="001B5A51">
        <w:rPr>
          <w:rFonts w:ascii="Times New Roman" w:hAnsi="Times New Roman"/>
          <w:sz w:val="28"/>
          <w:lang w:val="fr-FR"/>
        </w:rPr>
        <w:t>. Par conséquent il ne s’agit pas dans le présent cas d’une mise en œuvre du droit de l’Union qui seule pourrait entrainer une force obligatoire de la Charte pour les Etats membres.</w:t>
      </w:r>
      <w:r w:rsidRPr="001B5A51">
        <w:rPr>
          <w:rFonts w:ascii="Times New Roman" w:hAnsi="Times New Roman"/>
          <w:sz w:val="28"/>
          <w:lang w:val="fr-FR"/>
        </w:rPr>
        <w:t>» (88)</w:t>
      </w:r>
    </w:p>
    <w:p w:rsidR="007E2B68" w:rsidRPr="001B5A51" w:rsidRDefault="00821144" w:rsidP="003378C9">
      <w:pPr>
        <w:spacing w:before="120"/>
        <w:rPr>
          <w:rFonts w:ascii="Times New Roman" w:hAnsi="Times New Roman"/>
          <w:sz w:val="28"/>
          <w:lang w:val="fr-FR"/>
        </w:rPr>
      </w:pPr>
      <w:r w:rsidRPr="001B5A51">
        <w:rPr>
          <w:rFonts w:ascii="Times New Roman" w:hAnsi="Times New Roman"/>
          <w:sz w:val="28"/>
          <w:lang w:val="fr-FR"/>
        </w:rPr>
        <w:t>au par. 89 la Cour constitutionnelle admet cependant que la loi allemande établissant le fichier informatique anti terrorisme</w:t>
      </w:r>
      <w:r w:rsidR="007E2B68" w:rsidRPr="001B5A51">
        <w:rPr>
          <w:rFonts w:ascii="Times New Roman" w:hAnsi="Times New Roman"/>
          <w:sz w:val="28"/>
          <w:lang w:val="fr-FR"/>
        </w:rPr>
        <w:t xml:space="preserve"> soulève des questions qui tou</w:t>
      </w:r>
      <w:r w:rsidR="00977CC2" w:rsidRPr="001B5A51">
        <w:rPr>
          <w:rFonts w:ascii="Times New Roman" w:hAnsi="Times New Roman"/>
          <w:sz w:val="28"/>
          <w:lang w:val="fr-FR"/>
        </w:rPr>
        <w:t xml:space="preserve">chent en partie des domaines </w:t>
      </w:r>
      <w:r w:rsidR="007E2B68" w:rsidRPr="001B5A51">
        <w:rPr>
          <w:rFonts w:ascii="Times New Roman" w:hAnsi="Times New Roman"/>
          <w:sz w:val="28"/>
          <w:lang w:val="fr-FR"/>
        </w:rPr>
        <w:t>règlementé</w:t>
      </w:r>
      <w:r w:rsidR="00977CC2" w:rsidRPr="001B5A51">
        <w:rPr>
          <w:rFonts w:ascii="Times New Roman" w:hAnsi="Times New Roman"/>
          <w:sz w:val="28"/>
          <w:lang w:val="fr-FR"/>
        </w:rPr>
        <w:t>s</w:t>
      </w:r>
      <w:r w:rsidR="007E2B68" w:rsidRPr="001B5A51">
        <w:rPr>
          <w:rFonts w:ascii="Times New Roman" w:hAnsi="Times New Roman"/>
          <w:sz w:val="28"/>
          <w:lang w:val="fr-FR"/>
        </w:rPr>
        <w:t xml:space="preserve"> par le droit de l’Union</w:t>
      </w:r>
    </w:p>
    <w:p w:rsidR="002B69E2" w:rsidRPr="001B5A51" w:rsidRDefault="007E2B68" w:rsidP="003378C9">
      <w:pPr>
        <w:spacing w:before="120"/>
        <w:rPr>
          <w:rFonts w:ascii="Times New Roman" w:hAnsi="Times New Roman"/>
          <w:sz w:val="28"/>
          <w:lang w:val="fr-FR"/>
        </w:rPr>
      </w:pPr>
      <w:r w:rsidRPr="001B5A51">
        <w:rPr>
          <w:rFonts w:ascii="Times New Roman" w:hAnsi="Times New Roman"/>
          <w:sz w:val="28"/>
          <w:lang w:val="fr-FR"/>
        </w:rPr>
        <w:t xml:space="preserve">et que la loi du fichier anti terrorisme n’est pas sans lien par rapport au droit de l’Union </w:t>
      </w:r>
    </w:p>
    <w:p w:rsidR="00E165F2" w:rsidRPr="001B5A51" w:rsidRDefault="007E2B68" w:rsidP="003378C9">
      <w:pPr>
        <w:spacing w:before="120"/>
        <w:rPr>
          <w:rFonts w:ascii="Times New Roman" w:hAnsi="Times New Roman"/>
          <w:sz w:val="28"/>
          <w:lang w:val="fr-FR"/>
        </w:rPr>
      </w:pPr>
      <w:r w:rsidRPr="001B5A51">
        <w:rPr>
          <w:rFonts w:ascii="Times New Roman" w:hAnsi="Times New Roman"/>
          <w:sz w:val="28"/>
          <w:lang w:val="fr-FR"/>
        </w:rPr>
        <w:t xml:space="preserve">elle estime </w:t>
      </w:r>
      <w:r w:rsidR="00977CC2" w:rsidRPr="001B5A51">
        <w:rPr>
          <w:rFonts w:ascii="Times New Roman" w:hAnsi="Times New Roman"/>
          <w:sz w:val="28"/>
          <w:lang w:val="fr-FR"/>
        </w:rPr>
        <w:t xml:space="preserve">cependant </w:t>
      </w:r>
      <w:r w:rsidRPr="001B5A51">
        <w:rPr>
          <w:rFonts w:ascii="Times New Roman" w:hAnsi="Times New Roman"/>
          <w:sz w:val="28"/>
          <w:lang w:val="fr-FR"/>
        </w:rPr>
        <w:t xml:space="preserve">qu’il est évident que cette loi ne constitue pas une mise en œuvre du droit de l’Union – n’est pas déterminée par le droit de l’Union </w:t>
      </w:r>
      <w:r w:rsidR="00E165F2" w:rsidRPr="001B5A51">
        <w:rPr>
          <w:rFonts w:ascii="Times New Roman" w:hAnsi="Times New Roman"/>
          <w:sz w:val="28"/>
          <w:lang w:val="fr-FR"/>
        </w:rPr>
        <w:t>–</w:t>
      </w:r>
      <w:r w:rsidRPr="001B5A51">
        <w:rPr>
          <w:rFonts w:ascii="Times New Roman" w:hAnsi="Times New Roman"/>
          <w:sz w:val="28"/>
          <w:lang w:val="fr-FR"/>
        </w:rPr>
        <w:t xml:space="preserve"> </w:t>
      </w:r>
      <w:r w:rsidR="005018D2" w:rsidRPr="001B5A51">
        <w:rPr>
          <w:rFonts w:ascii="Times New Roman" w:hAnsi="Times New Roman"/>
          <w:sz w:val="28"/>
          <w:lang w:val="fr-FR"/>
        </w:rPr>
        <w:t>qu’</w:t>
      </w:r>
      <w:r w:rsidR="00E165F2" w:rsidRPr="001B5A51">
        <w:rPr>
          <w:rFonts w:ascii="Times New Roman" w:hAnsi="Times New Roman"/>
          <w:sz w:val="28"/>
          <w:lang w:val="fr-FR"/>
        </w:rPr>
        <w:t>il n’y a</w:t>
      </w:r>
      <w:r w:rsidR="005018D2" w:rsidRPr="001B5A51">
        <w:rPr>
          <w:rFonts w:ascii="Times New Roman" w:hAnsi="Times New Roman"/>
          <w:sz w:val="28"/>
          <w:lang w:val="fr-FR"/>
        </w:rPr>
        <w:t xml:space="preserve"> ni obligation, ni interdiction</w:t>
      </w:r>
      <w:r w:rsidR="00E165F2" w:rsidRPr="001B5A51">
        <w:rPr>
          <w:rFonts w:ascii="Times New Roman" w:hAnsi="Times New Roman"/>
          <w:sz w:val="28"/>
          <w:lang w:val="fr-FR"/>
        </w:rPr>
        <w:t>, ni aucune indication dans le droit de l’UE sur le contenu d’un tel fichier</w:t>
      </w:r>
    </w:p>
    <w:p w:rsidR="004E348B" w:rsidRPr="001B5A51" w:rsidRDefault="00E165F2" w:rsidP="003378C9">
      <w:pPr>
        <w:spacing w:before="120"/>
        <w:rPr>
          <w:rFonts w:ascii="Times New Roman" w:hAnsi="Times New Roman"/>
          <w:sz w:val="28"/>
          <w:lang w:val="fr-FR"/>
        </w:rPr>
      </w:pPr>
      <w:r w:rsidRPr="001B5A51">
        <w:rPr>
          <w:rFonts w:ascii="Times New Roman" w:hAnsi="Times New Roman"/>
          <w:sz w:val="28"/>
          <w:lang w:val="fr-FR"/>
        </w:rPr>
        <w:t>La loi allemande poursuite des objectifs de droit interne qui ne peuvent déterminer le fonctionnement de relations juridiques ordonnées par le droit de l’Union que de manière indirecte… cela n’est pas suffisant pour la soumettre à un contrôle au regard des droits fondamentaux de l’Union</w:t>
      </w:r>
      <w:r w:rsidR="005018D2" w:rsidRPr="001B5A51">
        <w:rPr>
          <w:rFonts w:ascii="Times New Roman" w:hAnsi="Times New Roman"/>
          <w:sz w:val="28"/>
          <w:lang w:val="fr-FR"/>
        </w:rPr>
        <w:t xml:space="preserve">, </w:t>
      </w:r>
      <w:r w:rsidRPr="001B5A51">
        <w:rPr>
          <w:rFonts w:ascii="Times New Roman" w:hAnsi="Times New Roman"/>
          <w:sz w:val="28"/>
          <w:lang w:val="fr-FR"/>
        </w:rPr>
        <w:t>Cite Annibaldi, 18.12.1997.</w:t>
      </w:r>
    </w:p>
    <w:p w:rsidR="008E5CDB" w:rsidRPr="001B5A51" w:rsidRDefault="008E5CDB" w:rsidP="003378C9">
      <w:pPr>
        <w:spacing w:before="120"/>
        <w:rPr>
          <w:rFonts w:ascii="Times New Roman" w:hAnsi="Times New Roman"/>
          <w:i/>
          <w:sz w:val="28"/>
          <w:lang w:val="fr-FR"/>
        </w:rPr>
      </w:pPr>
      <w:r w:rsidRPr="001B5A51">
        <w:rPr>
          <w:rFonts w:ascii="Times New Roman" w:hAnsi="Times New Roman"/>
          <w:i/>
          <w:sz w:val="28"/>
          <w:lang w:val="fr-FR"/>
        </w:rPr>
        <w:t xml:space="preserve">Puis, au </w:t>
      </w:r>
      <w:r w:rsidR="004E348B" w:rsidRPr="001B5A51">
        <w:rPr>
          <w:rFonts w:ascii="Times New Roman" w:hAnsi="Times New Roman"/>
          <w:i/>
          <w:sz w:val="28"/>
          <w:lang w:val="fr-FR"/>
        </w:rPr>
        <w:t xml:space="preserve">Point 91, vient </w:t>
      </w:r>
      <w:r w:rsidRPr="001B5A51">
        <w:rPr>
          <w:rFonts w:ascii="Times New Roman" w:hAnsi="Times New Roman"/>
          <w:i/>
          <w:sz w:val="28"/>
          <w:lang w:val="fr-FR"/>
        </w:rPr>
        <w:t>la contestation de l’arrêt Akerberg Fransson. La BVerfG cherche à imposer une lecture restrictive de cet arrêt :</w:t>
      </w:r>
    </w:p>
    <w:p w:rsidR="00980D59" w:rsidRPr="001B5A51" w:rsidRDefault="007C2460" w:rsidP="003378C9">
      <w:pPr>
        <w:spacing w:before="120"/>
        <w:rPr>
          <w:rFonts w:ascii="Times New Roman" w:hAnsi="Times New Roman"/>
          <w:sz w:val="28"/>
          <w:lang w:val="fr-FR"/>
        </w:rPr>
      </w:pPr>
      <w:r w:rsidRPr="001B5A51">
        <w:rPr>
          <w:rFonts w:ascii="Times New Roman" w:hAnsi="Times New Roman"/>
          <w:sz w:val="28"/>
          <w:lang w:val="fr-FR"/>
        </w:rPr>
        <w:t xml:space="preserve">Elle invoque « l’ensemble coopératif » des deux juridictions et exige que l’arrêt Akerberg ne doit être lu dans un sens </w:t>
      </w:r>
      <w:r w:rsidR="005018D2" w:rsidRPr="001B5A51">
        <w:rPr>
          <w:rFonts w:ascii="Times New Roman" w:hAnsi="Times New Roman"/>
          <w:sz w:val="28"/>
          <w:lang w:val="fr-FR"/>
        </w:rPr>
        <w:t xml:space="preserve">selon </w:t>
      </w:r>
      <w:r w:rsidRPr="001B5A51">
        <w:rPr>
          <w:rFonts w:ascii="Times New Roman" w:hAnsi="Times New Roman"/>
          <w:sz w:val="28"/>
          <w:lang w:val="fr-FR"/>
        </w:rPr>
        <w:t xml:space="preserve">lequel il serait ou bien à considérer comme un acte ultra vires ou bien menacerait la protection et la mise en œuvre des droits fondamentaux des Etats </w:t>
      </w:r>
      <w:r w:rsidR="005018D2" w:rsidRPr="001B5A51">
        <w:rPr>
          <w:rFonts w:ascii="Times New Roman" w:hAnsi="Times New Roman"/>
          <w:sz w:val="28"/>
          <w:lang w:val="fr-FR"/>
        </w:rPr>
        <w:t>membres d’une manière qui met</w:t>
      </w:r>
      <w:r w:rsidRPr="001B5A51">
        <w:rPr>
          <w:rFonts w:ascii="Times New Roman" w:hAnsi="Times New Roman"/>
          <w:sz w:val="28"/>
          <w:lang w:val="fr-FR"/>
        </w:rPr>
        <w:t xml:space="preserve"> en cause l’identité de l’ordre constitutionnel allemand</w:t>
      </w:r>
    </w:p>
    <w:p w:rsidR="00980D59" w:rsidRPr="001B5A51" w:rsidRDefault="00980D59" w:rsidP="003378C9">
      <w:pPr>
        <w:spacing w:before="120"/>
        <w:rPr>
          <w:rFonts w:ascii="Times New Roman" w:hAnsi="Times New Roman"/>
          <w:sz w:val="28"/>
          <w:lang w:val="fr-FR"/>
        </w:rPr>
      </w:pPr>
      <w:r w:rsidRPr="001B5A51">
        <w:rPr>
          <w:rFonts w:ascii="Times New Roman" w:hAnsi="Times New Roman"/>
          <w:sz w:val="28"/>
          <w:lang w:val="fr-FR"/>
        </w:rPr>
        <w:t>L’arrêt Akerberg ne doit être compris et appliqué dans le sens que n’importe quel</w:t>
      </w:r>
      <w:r w:rsidR="00977CC2" w:rsidRPr="001B5A51">
        <w:rPr>
          <w:rFonts w:ascii="Times New Roman" w:hAnsi="Times New Roman"/>
          <w:sz w:val="28"/>
          <w:lang w:val="fr-FR"/>
        </w:rPr>
        <w:t>le</w:t>
      </w:r>
      <w:r w:rsidRPr="001B5A51">
        <w:rPr>
          <w:rFonts w:ascii="Times New Roman" w:hAnsi="Times New Roman"/>
          <w:sz w:val="28"/>
          <w:lang w:val="fr-FR"/>
        </w:rPr>
        <w:t xml:space="preserve"> relation factuelle d’une réglementation avec le champ d’application du droit de l’Union</w:t>
      </w:r>
      <w:r w:rsidR="00977CC2" w:rsidRPr="001B5A51">
        <w:rPr>
          <w:rFonts w:ascii="Times New Roman" w:hAnsi="Times New Roman"/>
          <w:sz w:val="28"/>
          <w:lang w:val="fr-FR"/>
        </w:rPr>
        <w:t>,</w:t>
      </w:r>
      <w:r w:rsidRPr="001B5A51">
        <w:rPr>
          <w:rFonts w:ascii="Times New Roman" w:hAnsi="Times New Roman"/>
          <w:sz w:val="28"/>
          <w:lang w:val="fr-FR"/>
        </w:rPr>
        <w:t xml:space="preserve"> </w:t>
      </w:r>
      <w:r w:rsidR="00977CC2" w:rsidRPr="001B5A51">
        <w:rPr>
          <w:rFonts w:ascii="Times New Roman" w:hAnsi="Times New Roman"/>
          <w:sz w:val="28"/>
          <w:lang w:val="fr-FR"/>
        </w:rPr>
        <w:t xml:space="preserve">considéré dans l’abstrait, </w:t>
      </w:r>
      <w:r w:rsidRPr="001B5A51">
        <w:rPr>
          <w:rFonts w:ascii="Times New Roman" w:hAnsi="Times New Roman"/>
          <w:sz w:val="28"/>
          <w:lang w:val="fr-FR"/>
        </w:rPr>
        <w:t xml:space="preserve">serait </w:t>
      </w:r>
      <w:r w:rsidR="002C4ACE" w:rsidRPr="001B5A51">
        <w:rPr>
          <w:rFonts w:ascii="Times New Roman" w:hAnsi="Times New Roman"/>
          <w:sz w:val="28"/>
          <w:lang w:val="fr-FR"/>
        </w:rPr>
        <w:t>suffisante</w:t>
      </w:r>
      <w:r w:rsidRPr="001B5A51">
        <w:rPr>
          <w:rFonts w:ascii="Times New Roman" w:hAnsi="Times New Roman"/>
          <w:sz w:val="28"/>
          <w:lang w:val="fr-FR"/>
        </w:rPr>
        <w:t xml:space="preserve"> pour entrainer l’applicabilité de la CFR</w:t>
      </w:r>
    </w:p>
    <w:p w:rsidR="00E165F2" w:rsidRPr="001B5A51" w:rsidRDefault="00980D59" w:rsidP="003378C9">
      <w:pPr>
        <w:spacing w:before="120"/>
        <w:rPr>
          <w:rFonts w:ascii="Times New Roman" w:hAnsi="Times New Roman"/>
          <w:sz w:val="28"/>
          <w:lang w:val="fr-FR"/>
        </w:rPr>
      </w:pPr>
      <w:r w:rsidRPr="001B5A51">
        <w:rPr>
          <w:rFonts w:ascii="Times New Roman" w:hAnsi="Times New Roman"/>
          <w:sz w:val="28"/>
          <w:lang w:val="fr-FR"/>
        </w:rPr>
        <w:t xml:space="preserve">D’ailleurs la Cour aurait elle-même confirmé au point 19 de l’arrêt Akerberg </w:t>
      </w:r>
      <w:r w:rsidR="002C4ACE" w:rsidRPr="001B5A51">
        <w:rPr>
          <w:rFonts w:ascii="Times New Roman" w:hAnsi="Times New Roman"/>
          <w:sz w:val="28"/>
          <w:lang w:val="fr-FR"/>
        </w:rPr>
        <w:t>« q</w:t>
      </w:r>
      <w:r w:rsidR="002C4ACE" w:rsidRPr="001B5A51">
        <w:rPr>
          <w:rFonts w:ascii="Times New Roman" w:hAnsi="Times New Roman"/>
          <w:lang w:val="fr-FR"/>
        </w:rPr>
        <w:t>ue les droits fondamentaux garantis dans l’ordre juridique de l’Union ont vocation à être appliqués dans toutes les situations régies par le droit de l’Union, mais pas en dehors de telles situations”.</w:t>
      </w:r>
    </w:p>
    <w:p w:rsidR="00B95DC0" w:rsidRPr="001B5A51" w:rsidRDefault="00B95DC0" w:rsidP="00B95DC0">
      <w:pPr>
        <w:spacing w:before="120"/>
        <w:rPr>
          <w:rFonts w:ascii="Times New Roman" w:hAnsi="Times New Roman"/>
          <w:b/>
          <w:bCs/>
          <w:i/>
          <w:iCs/>
          <w:sz w:val="28"/>
          <w:lang w:val="fr-FR"/>
        </w:rPr>
      </w:pPr>
      <w:r w:rsidRPr="001B5A51">
        <w:rPr>
          <w:rFonts w:ascii="Times New Roman" w:hAnsi="Times New Roman"/>
          <w:lang w:val="fr-FR"/>
        </w:rPr>
        <w:br w:type="page"/>
      </w:r>
    </w:p>
    <w:p w:rsidR="00574F17" w:rsidRPr="001B5A51" w:rsidRDefault="00574F17" w:rsidP="003378C9">
      <w:pPr>
        <w:pStyle w:val="Heading2"/>
        <w:numPr>
          <w:ilvl w:val="0"/>
          <w:numId w:val="2"/>
        </w:numPr>
        <w:spacing w:before="120"/>
        <w:rPr>
          <w:rFonts w:ascii="Times New Roman" w:hAnsi="Times New Roman" w:cs="Times New Roman"/>
          <w:sz w:val="32"/>
          <w:szCs w:val="24"/>
          <w:lang w:val="fr-FR"/>
        </w:rPr>
      </w:pPr>
      <w:r w:rsidRPr="001B5A51">
        <w:rPr>
          <w:rFonts w:ascii="Times New Roman" w:hAnsi="Times New Roman" w:cs="Times New Roman"/>
          <w:sz w:val="32"/>
          <w:szCs w:val="24"/>
          <w:lang w:val="fr-FR"/>
        </w:rPr>
        <w:t>Les modalités du dialogue</w:t>
      </w:r>
    </w:p>
    <w:p w:rsidR="00B9493A" w:rsidRPr="001B5A51" w:rsidRDefault="00B9493A" w:rsidP="003378C9">
      <w:pPr>
        <w:spacing w:before="120"/>
        <w:ind w:left="360"/>
        <w:rPr>
          <w:rFonts w:ascii="Times New Roman" w:hAnsi="Times New Roman"/>
          <w:sz w:val="28"/>
          <w:lang w:val="fr-FR"/>
        </w:rPr>
      </w:pPr>
    </w:p>
    <w:p w:rsidR="001A068F" w:rsidRPr="001B5A51" w:rsidRDefault="001A068F" w:rsidP="003378C9">
      <w:pPr>
        <w:spacing w:before="120"/>
        <w:ind w:left="360"/>
        <w:rPr>
          <w:rFonts w:ascii="Times New Roman" w:hAnsi="Times New Roman"/>
          <w:sz w:val="28"/>
          <w:lang w:val="fr-FR"/>
        </w:rPr>
      </w:pPr>
      <w:r w:rsidRPr="001B5A51">
        <w:rPr>
          <w:rFonts w:ascii="Times New Roman" w:hAnsi="Times New Roman"/>
          <w:sz w:val="28"/>
          <w:lang w:val="fr-FR"/>
        </w:rPr>
        <w:t>Dialogue emprunte pour l’instant 2 voies complémentaires mais imparfaites</w:t>
      </w:r>
      <w:r w:rsidR="00B9493A" w:rsidRPr="001B5A51">
        <w:rPr>
          <w:rFonts w:ascii="Times New Roman" w:hAnsi="Times New Roman"/>
          <w:sz w:val="28"/>
          <w:lang w:val="fr-FR"/>
        </w:rPr>
        <w:t xml:space="preserve"> pour permettre des échanges d’arguments.</w:t>
      </w:r>
    </w:p>
    <w:p w:rsidR="00B95DC0" w:rsidRPr="001B5A51" w:rsidRDefault="001A068F" w:rsidP="003378C9">
      <w:pPr>
        <w:spacing w:before="120"/>
        <w:ind w:left="360"/>
        <w:rPr>
          <w:rFonts w:ascii="Times New Roman" w:hAnsi="Times New Roman"/>
          <w:sz w:val="28"/>
          <w:lang w:val="fr-FR"/>
        </w:rPr>
      </w:pPr>
      <w:r w:rsidRPr="001B5A51">
        <w:rPr>
          <w:rFonts w:ascii="Times New Roman" w:hAnsi="Times New Roman"/>
          <w:sz w:val="28"/>
          <w:lang w:val="fr-FR"/>
        </w:rPr>
        <w:t>Seul le recours au renvoi préjudiciel permettrait un véritable dialogue.</w:t>
      </w:r>
    </w:p>
    <w:p w:rsidR="00574F17" w:rsidRPr="001B5A51" w:rsidRDefault="00574F17" w:rsidP="003378C9">
      <w:pPr>
        <w:spacing w:before="120"/>
        <w:ind w:left="360"/>
        <w:rPr>
          <w:rFonts w:ascii="Times New Roman" w:hAnsi="Times New Roman"/>
          <w:sz w:val="28"/>
          <w:lang w:val="fr-FR"/>
        </w:rPr>
      </w:pPr>
    </w:p>
    <w:p w:rsidR="00574F17" w:rsidRPr="001B5A51" w:rsidRDefault="00574F17" w:rsidP="003378C9">
      <w:pPr>
        <w:pStyle w:val="Heading3"/>
        <w:spacing w:before="120"/>
        <w:rPr>
          <w:rFonts w:ascii="Times New Roman" w:hAnsi="Times New Roman" w:cs="Times New Roman"/>
          <w:sz w:val="28"/>
          <w:szCs w:val="24"/>
          <w:lang w:val="fr-FR"/>
        </w:rPr>
      </w:pPr>
      <w:r w:rsidRPr="001B5A51">
        <w:rPr>
          <w:rFonts w:ascii="Times New Roman" w:hAnsi="Times New Roman" w:cs="Times New Roman"/>
          <w:sz w:val="28"/>
          <w:szCs w:val="24"/>
          <w:lang w:val="fr-FR"/>
        </w:rPr>
        <w:t>A. Les carences d</w:t>
      </w:r>
      <w:r w:rsidR="00735908" w:rsidRPr="001B5A51">
        <w:rPr>
          <w:rFonts w:ascii="Times New Roman" w:hAnsi="Times New Roman" w:cs="Times New Roman"/>
          <w:sz w:val="28"/>
          <w:szCs w:val="24"/>
          <w:lang w:val="fr-FR"/>
        </w:rPr>
        <w:t>’</w:t>
      </w:r>
      <w:r w:rsidRPr="001B5A51">
        <w:rPr>
          <w:rFonts w:ascii="Times New Roman" w:hAnsi="Times New Roman" w:cs="Times New Roman"/>
          <w:sz w:val="28"/>
          <w:szCs w:val="24"/>
          <w:lang w:val="fr-FR"/>
        </w:rPr>
        <w:t>u</w:t>
      </w:r>
      <w:r w:rsidR="00735908" w:rsidRPr="001B5A51">
        <w:rPr>
          <w:rFonts w:ascii="Times New Roman" w:hAnsi="Times New Roman" w:cs="Times New Roman"/>
          <w:sz w:val="28"/>
          <w:szCs w:val="24"/>
          <w:lang w:val="fr-FR"/>
        </w:rPr>
        <w:t>n</w:t>
      </w:r>
      <w:r w:rsidRPr="001B5A51">
        <w:rPr>
          <w:rFonts w:ascii="Times New Roman" w:hAnsi="Times New Roman" w:cs="Times New Roman"/>
          <w:sz w:val="28"/>
          <w:szCs w:val="24"/>
          <w:lang w:val="fr-FR"/>
        </w:rPr>
        <w:t xml:space="preserve"> dialogue indirect et informel</w:t>
      </w:r>
    </w:p>
    <w:p w:rsidR="00574F17" w:rsidRPr="001B5A51" w:rsidRDefault="00735908" w:rsidP="003378C9">
      <w:pPr>
        <w:spacing w:before="120"/>
        <w:rPr>
          <w:rFonts w:ascii="Times New Roman" w:hAnsi="Times New Roman"/>
          <w:sz w:val="28"/>
          <w:lang w:val="fr-FR"/>
        </w:rPr>
      </w:pPr>
      <w:r w:rsidRPr="001B5A51">
        <w:rPr>
          <w:rFonts w:ascii="Times New Roman" w:hAnsi="Times New Roman"/>
          <w:sz w:val="28"/>
          <w:lang w:val="fr-FR"/>
        </w:rPr>
        <w:t>Echange d’arguments à travers jurisprudence respective.</w:t>
      </w:r>
    </w:p>
    <w:p w:rsidR="00574F17" w:rsidRPr="001B5A51" w:rsidRDefault="00574F17" w:rsidP="003378C9">
      <w:pPr>
        <w:pStyle w:val="Heading4"/>
        <w:spacing w:before="120"/>
        <w:ind w:left="720"/>
        <w:rPr>
          <w:szCs w:val="24"/>
          <w:lang w:val="fr-FR"/>
        </w:rPr>
      </w:pPr>
      <w:r w:rsidRPr="001B5A51">
        <w:rPr>
          <w:szCs w:val="24"/>
          <w:lang w:val="fr-FR"/>
        </w:rPr>
        <w:t xml:space="preserve">1. Une juxtaposition de </w:t>
      </w:r>
      <w:r w:rsidRPr="001B5A51">
        <w:rPr>
          <w:i/>
          <w:szCs w:val="24"/>
          <w:lang w:val="fr-FR"/>
        </w:rPr>
        <w:t>obiter dicta</w:t>
      </w:r>
      <w:r w:rsidRPr="001B5A51">
        <w:rPr>
          <w:szCs w:val="24"/>
          <w:lang w:val="fr-FR"/>
        </w:rPr>
        <w:t xml:space="preserve"> et de </w:t>
      </w:r>
      <w:r w:rsidRPr="001B5A51">
        <w:rPr>
          <w:i/>
          <w:szCs w:val="24"/>
          <w:lang w:val="fr-FR"/>
        </w:rPr>
        <w:t>rationes decidendi</w:t>
      </w:r>
      <w:r w:rsidRPr="001B5A51">
        <w:rPr>
          <w:szCs w:val="24"/>
          <w:lang w:val="fr-FR"/>
        </w:rPr>
        <w:t xml:space="preserve"> </w:t>
      </w:r>
    </w:p>
    <w:p w:rsidR="00B27A7F" w:rsidRPr="001B5A51" w:rsidRDefault="00BD146F" w:rsidP="003378C9">
      <w:pPr>
        <w:spacing w:before="120"/>
        <w:ind w:left="720"/>
        <w:rPr>
          <w:rFonts w:ascii="Times New Roman" w:hAnsi="Times New Roman"/>
          <w:sz w:val="28"/>
          <w:lang w:val="fr-FR"/>
        </w:rPr>
      </w:pPr>
      <w:r w:rsidRPr="001B5A51">
        <w:rPr>
          <w:rFonts w:ascii="Times New Roman" w:hAnsi="Times New Roman"/>
          <w:sz w:val="28"/>
          <w:lang w:val="fr-FR"/>
        </w:rPr>
        <w:t xml:space="preserve">- Des arrêts / décisions </w:t>
      </w:r>
      <w:r w:rsidR="00B27A7F" w:rsidRPr="001B5A51">
        <w:rPr>
          <w:rFonts w:ascii="Times New Roman" w:hAnsi="Times New Roman"/>
          <w:sz w:val="28"/>
          <w:lang w:val="fr-FR"/>
        </w:rPr>
        <w:t>en tant que vecteurs </w:t>
      </w:r>
      <w:r w:rsidRPr="001B5A51">
        <w:rPr>
          <w:rFonts w:ascii="Times New Roman" w:hAnsi="Times New Roman"/>
          <w:sz w:val="28"/>
          <w:lang w:val="fr-FR"/>
        </w:rPr>
        <w:t xml:space="preserve">principaux du dialogue </w:t>
      </w:r>
      <w:r w:rsidR="001A068F" w:rsidRPr="001B5A51">
        <w:rPr>
          <w:rFonts w:ascii="Times New Roman" w:hAnsi="Times New Roman"/>
          <w:sz w:val="28"/>
          <w:lang w:val="fr-FR"/>
        </w:rPr>
        <w:t xml:space="preserve">… </w:t>
      </w:r>
      <w:r w:rsidRPr="001B5A51">
        <w:rPr>
          <w:rFonts w:ascii="Times New Roman" w:hAnsi="Times New Roman"/>
          <w:sz w:val="28"/>
          <w:lang w:val="fr-FR"/>
        </w:rPr>
        <w:t xml:space="preserve">au style </w:t>
      </w:r>
      <w:r w:rsidR="00B27A7F" w:rsidRPr="001B5A51">
        <w:rPr>
          <w:rFonts w:ascii="Times New Roman" w:hAnsi="Times New Roman"/>
          <w:sz w:val="28"/>
          <w:lang w:val="fr-FR"/>
        </w:rPr>
        <w:t>différent</w:t>
      </w:r>
    </w:p>
    <w:p w:rsidR="00B27A7F" w:rsidRPr="001B5A51" w:rsidRDefault="00B27A7F" w:rsidP="003378C9">
      <w:pPr>
        <w:spacing w:before="120"/>
        <w:ind w:left="720"/>
        <w:rPr>
          <w:rFonts w:ascii="Times New Roman" w:hAnsi="Times New Roman"/>
          <w:sz w:val="28"/>
          <w:lang w:val="fr-FR"/>
        </w:rPr>
      </w:pPr>
      <w:r w:rsidRPr="001B5A51">
        <w:rPr>
          <w:rFonts w:ascii="Times New Roman" w:hAnsi="Times New Roman"/>
          <w:sz w:val="28"/>
          <w:lang w:val="fr-FR"/>
        </w:rPr>
        <w:tab/>
        <w:t>longueur</w:t>
      </w:r>
    </w:p>
    <w:p w:rsidR="00B27A7F" w:rsidRPr="001B5A51" w:rsidRDefault="00B27A7F" w:rsidP="003378C9">
      <w:pPr>
        <w:spacing w:before="120"/>
        <w:ind w:left="720"/>
        <w:rPr>
          <w:rFonts w:ascii="Times New Roman" w:hAnsi="Times New Roman"/>
          <w:sz w:val="28"/>
          <w:lang w:val="fr-FR"/>
        </w:rPr>
      </w:pPr>
      <w:r w:rsidRPr="001B5A51">
        <w:rPr>
          <w:rFonts w:ascii="Times New Roman" w:hAnsi="Times New Roman"/>
          <w:sz w:val="28"/>
          <w:lang w:val="fr-FR"/>
        </w:rPr>
        <w:tab/>
        <w:t>lisibilité</w:t>
      </w:r>
      <w:r w:rsidR="001A068F" w:rsidRPr="001B5A51">
        <w:rPr>
          <w:rFonts w:ascii="Times New Roman" w:hAnsi="Times New Roman"/>
          <w:sz w:val="28"/>
          <w:lang w:val="fr-FR"/>
        </w:rPr>
        <w:t>, langage</w:t>
      </w:r>
    </w:p>
    <w:p w:rsidR="00B27A7F" w:rsidRPr="001B5A51" w:rsidRDefault="00B27A7F" w:rsidP="003378C9">
      <w:pPr>
        <w:spacing w:before="120"/>
        <w:ind w:left="720"/>
        <w:rPr>
          <w:rFonts w:ascii="Times New Roman" w:hAnsi="Times New Roman"/>
          <w:sz w:val="28"/>
          <w:lang w:val="fr-FR"/>
        </w:rPr>
      </w:pPr>
      <w:r w:rsidRPr="001B5A51">
        <w:rPr>
          <w:rFonts w:ascii="Times New Roman" w:hAnsi="Times New Roman"/>
          <w:sz w:val="28"/>
          <w:lang w:val="fr-FR"/>
        </w:rPr>
        <w:tab/>
        <w:t>accessibilité</w:t>
      </w:r>
      <w:r w:rsidR="001A068F" w:rsidRPr="001B5A51">
        <w:rPr>
          <w:rFonts w:ascii="Times New Roman" w:hAnsi="Times New Roman"/>
          <w:sz w:val="28"/>
          <w:lang w:val="fr-FR"/>
        </w:rPr>
        <w:t xml:space="preserve"> …… donc un dialogue de juges qui ne parlent pas la même langue !</w:t>
      </w:r>
    </w:p>
    <w:p w:rsidR="00B9493A" w:rsidRPr="001B5A51" w:rsidRDefault="00B27A7F" w:rsidP="003378C9">
      <w:pPr>
        <w:spacing w:before="120"/>
        <w:ind w:left="720"/>
        <w:rPr>
          <w:rFonts w:ascii="Times New Roman" w:hAnsi="Times New Roman"/>
          <w:sz w:val="28"/>
          <w:lang w:val="fr-FR"/>
        </w:rPr>
      </w:pPr>
      <w:r w:rsidRPr="001B5A51">
        <w:rPr>
          <w:rFonts w:ascii="Times New Roman" w:hAnsi="Times New Roman"/>
          <w:sz w:val="28"/>
          <w:lang w:val="fr-FR"/>
        </w:rPr>
        <w:t>- Certain</w:t>
      </w:r>
      <w:r w:rsidR="00A6365D" w:rsidRPr="001B5A51">
        <w:rPr>
          <w:rFonts w:ascii="Times New Roman" w:hAnsi="Times New Roman"/>
          <w:sz w:val="28"/>
          <w:lang w:val="fr-FR"/>
        </w:rPr>
        <w:t>e</w:t>
      </w:r>
      <w:r w:rsidRPr="001B5A51">
        <w:rPr>
          <w:rFonts w:ascii="Times New Roman" w:hAnsi="Times New Roman"/>
          <w:sz w:val="28"/>
          <w:lang w:val="fr-FR"/>
        </w:rPr>
        <w:t xml:space="preserve">s </w:t>
      </w:r>
      <w:r w:rsidR="00A6365D" w:rsidRPr="001B5A51">
        <w:rPr>
          <w:rFonts w:ascii="Times New Roman" w:hAnsi="Times New Roman"/>
          <w:sz w:val="28"/>
          <w:lang w:val="fr-FR"/>
        </w:rPr>
        <w:t>décisions du BVerfG s’adresse</w:t>
      </w:r>
      <w:r w:rsidRPr="001B5A51">
        <w:rPr>
          <w:rFonts w:ascii="Times New Roman" w:hAnsi="Times New Roman"/>
          <w:sz w:val="28"/>
          <w:lang w:val="fr-FR"/>
        </w:rPr>
        <w:t>nt explicitement à l’interlocuteur visé (la CJUE) : ex. Solange 2, Maastricht, Honeywell</w:t>
      </w:r>
      <w:r w:rsidR="00A6365D" w:rsidRPr="001B5A51">
        <w:rPr>
          <w:rFonts w:ascii="Times New Roman" w:hAnsi="Times New Roman"/>
          <w:sz w:val="28"/>
          <w:lang w:val="fr-FR"/>
        </w:rPr>
        <w:t xml:space="preserve">. </w:t>
      </w:r>
    </w:p>
    <w:p w:rsidR="00B95DC0" w:rsidRPr="001B5A51" w:rsidRDefault="00A6365D" w:rsidP="003378C9">
      <w:pPr>
        <w:spacing w:before="120"/>
        <w:ind w:left="720"/>
        <w:rPr>
          <w:rFonts w:ascii="Times New Roman" w:hAnsi="Times New Roman"/>
          <w:sz w:val="28"/>
          <w:lang w:val="fr-FR"/>
        </w:rPr>
      </w:pPr>
      <w:r w:rsidRPr="001B5A51">
        <w:rPr>
          <w:rFonts w:ascii="Times New Roman" w:hAnsi="Times New Roman"/>
          <w:sz w:val="28"/>
          <w:lang w:val="fr-FR"/>
        </w:rPr>
        <w:t>L’inverse n’existe pas sauf références dans conclusions des AG, références au droit applicable ou argumentation des parties. Donc, sauf erreur de ma part il n’y a pas de décision de la Cour de justice évoquant et discutant un arrêt du BVerfG</w:t>
      </w:r>
      <w:r w:rsidR="005B4873" w:rsidRPr="001B5A51">
        <w:rPr>
          <w:rFonts w:ascii="Times New Roman" w:hAnsi="Times New Roman"/>
          <w:sz w:val="28"/>
          <w:lang w:val="fr-FR"/>
        </w:rPr>
        <w:t>. Il y a cependant des arrêts de la Cour portant sur des règles de droit constitutionnel allemand (IHG, Kreil, Omega Spielhallen)</w:t>
      </w:r>
    </w:p>
    <w:p w:rsidR="00574F17" w:rsidRPr="001B5A51" w:rsidRDefault="00574F17" w:rsidP="003378C9">
      <w:pPr>
        <w:spacing w:before="120"/>
        <w:ind w:left="720"/>
        <w:rPr>
          <w:rFonts w:ascii="Times New Roman" w:hAnsi="Times New Roman"/>
          <w:sz w:val="28"/>
          <w:lang w:val="fr-FR"/>
        </w:rPr>
      </w:pPr>
    </w:p>
    <w:p w:rsidR="00574F17" w:rsidRPr="001B5A51" w:rsidRDefault="00574F17" w:rsidP="003378C9">
      <w:pPr>
        <w:pStyle w:val="Heading4"/>
        <w:spacing w:before="120"/>
        <w:ind w:left="720"/>
        <w:rPr>
          <w:szCs w:val="24"/>
          <w:lang w:val="fr-FR"/>
        </w:rPr>
      </w:pPr>
      <w:r w:rsidRPr="001B5A51">
        <w:rPr>
          <w:szCs w:val="24"/>
          <w:lang w:val="fr-FR"/>
        </w:rPr>
        <w:t>2. Les efforts d’échanges informels</w:t>
      </w:r>
      <w:r w:rsidR="009D630D" w:rsidRPr="001B5A51">
        <w:rPr>
          <w:szCs w:val="24"/>
          <w:lang w:val="fr-FR"/>
        </w:rPr>
        <w:t xml:space="preserve"> en parallèle</w:t>
      </w:r>
    </w:p>
    <w:p w:rsidR="00B95DC0" w:rsidRPr="001B5A51" w:rsidRDefault="00BD146F" w:rsidP="003378C9">
      <w:pPr>
        <w:spacing w:before="120"/>
        <w:rPr>
          <w:rFonts w:ascii="Times New Roman" w:hAnsi="Times New Roman"/>
          <w:b/>
          <w:sz w:val="28"/>
          <w:lang w:val="fr-FR"/>
        </w:rPr>
      </w:pPr>
      <w:r w:rsidRPr="001B5A51">
        <w:rPr>
          <w:rFonts w:ascii="Times New Roman" w:hAnsi="Times New Roman"/>
          <w:b/>
          <w:sz w:val="28"/>
          <w:lang w:val="fr-FR"/>
        </w:rPr>
        <w:tab/>
      </w:r>
    </w:p>
    <w:p w:rsidR="00BA549C" w:rsidRPr="001B5A51" w:rsidRDefault="00BD146F" w:rsidP="003378C9">
      <w:pPr>
        <w:spacing w:before="120"/>
        <w:rPr>
          <w:rFonts w:ascii="Times New Roman" w:hAnsi="Times New Roman"/>
          <w:b/>
          <w:sz w:val="28"/>
          <w:lang w:val="fr-FR"/>
        </w:rPr>
      </w:pPr>
      <w:r w:rsidRPr="001B5A51">
        <w:rPr>
          <w:rFonts w:ascii="Times New Roman" w:hAnsi="Times New Roman"/>
          <w:b/>
          <w:sz w:val="28"/>
          <w:lang w:val="fr-FR"/>
        </w:rPr>
        <w:t>Rencontres, visites de courtoisie</w:t>
      </w:r>
      <w:r w:rsidR="00BA549C" w:rsidRPr="001B5A51">
        <w:rPr>
          <w:rFonts w:ascii="Times New Roman" w:hAnsi="Times New Roman"/>
          <w:b/>
          <w:sz w:val="28"/>
          <w:lang w:val="fr-FR"/>
        </w:rPr>
        <w:t> :</w:t>
      </w:r>
    </w:p>
    <w:p w:rsidR="00547A88" w:rsidRPr="001B5A51" w:rsidRDefault="001C5E0A" w:rsidP="00337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916"/>
        <w:rPr>
          <w:rFonts w:ascii="Times New Roman" w:hAnsi="Times New Roman" w:cs="Courier"/>
          <w:sz w:val="28"/>
          <w:szCs w:val="20"/>
          <w:lang w:val="fr-FR"/>
        </w:rPr>
      </w:pPr>
      <w:r w:rsidRPr="001B5A51">
        <w:rPr>
          <w:rFonts w:ascii="Times New Roman" w:hAnsi="Times New Roman" w:cs="Courier"/>
          <w:sz w:val="28"/>
          <w:szCs w:val="20"/>
          <w:lang w:val="fr-FR"/>
        </w:rPr>
        <w:t xml:space="preserve">- </w:t>
      </w:r>
      <w:r w:rsidR="00547A88" w:rsidRPr="001B5A51">
        <w:rPr>
          <w:rFonts w:ascii="Times New Roman" w:hAnsi="Times New Roman" w:cs="Courier"/>
          <w:sz w:val="28"/>
          <w:szCs w:val="20"/>
          <w:lang w:val="fr-FR"/>
        </w:rPr>
        <w:t>30 juin et 1er juillet 2013, visite de 18 membres (juges et AG) de la CJUE reçu au BVerfG</w:t>
      </w:r>
    </w:p>
    <w:p w:rsidR="00547A88" w:rsidRPr="001B5A51" w:rsidRDefault="00547A88" w:rsidP="00337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916"/>
        <w:rPr>
          <w:rFonts w:ascii="Times New Roman" w:hAnsi="Times New Roman" w:cs="Courier"/>
          <w:sz w:val="28"/>
          <w:szCs w:val="20"/>
          <w:lang w:val="fr-FR"/>
        </w:rPr>
      </w:pPr>
      <w:r w:rsidRPr="001B5A51">
        <w:rPr>
          <w:rFonts w:ascii="Times New Roman" w:hAnsi="Times New Roman" w:cs="Courier"/>
          <w:sz w:val="28"/>
          <w:szCs w:val="20"/>
          <w:lang w:val="fr-FR"/>
        </w:rPr>
        <w:t>2 sessions de travail : protection européenne et nationale des droits fondamentaux et citoyenneté de l’Union</w:t>
      </w:r>
    </w:p>
    <w:p w:rsidR="00BA549C" w:rsidRPr="001B5A51" w:rsidRDefault="001C5E0A" w:rsidP="00337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916"/>
        <w:rPr>
          <w:rFonts w:ascii="Times New Roman" w:hAnsi="Times New Roman" w:cs="Courier"/>
          <w:sz w:val="28"/>
          <w:szCs w:val="20"/>
          <w:lang w:val="fr-FR"/>
        </w:rPr>
      </w:pPr>
      <w:r w:rsidRPr="001B5A51">
        <w:rPr>
          <w:rFonts w:ascii="Times New Roman" w:hAnsi="Times New Roman" w:cs="Courier"/>
          <w:sz w:val="28"/>
          <w:szCs w:val="20"/>
          <w:lang w:val="fr-FR"/>
        </w:rPr>
        <w:t xml:space="preserve">- </w:t>
      </w:r>
      <w:r w:rsidR="00547A88" w:rsidRPr="001B5A51">
        <w:rPr>
          <w:rFonts w:ascii="Times New Roman" w:hAnsi="Times New Roman" w:cs="Courier"/>
          <w:sz w:val="28"/>
          <w:szCs w:val="20"/>
          <w:lang w:val="fr-FR"/>
        </w:rPr>
        <w:t xml:space="preserve">22 mars </w:t>
      </w:r>
      <w:r w:rsidR="00F5008E" w:rsidRPr="001B5A51">
        <w:rPr>
          <w:rFonts w:ascii="Times New Roman" w:hAnsi="Times New Roman" w:cs="Courier"/>
          <w:sz w:val="28"/>
          <w:szCs w:val="20"/>
          <w:lang w:val="fr-FR"/>
        </w:rPr>
        <w:t xml:space="preserve">2004, visite </w:t>
      </w:r>
      <w:r w:rsidR="00547A88" w:rsidRPr="001B5A51">
        <w:rPr>
          <w:rFonts w:ascii="Times New Roman" w:hAnsi="Times New Roman" w:cs="Courier"/>
          <w:sz w:val="28"/>
          <w:szCs w:val="20"/>
          <w:lang w:val="fr-FR"/>
        </w:rPr>
        <w:t xml:space="preserve">d’une délégation de 11 </w:t>
      </w:r>
      <w:r w:rsidR="00F5008E" w:rsidRPr="001B5A51">
        <w:rPr>
          <w:rFonts w:ascii="Times New Roman" w:hAnsi="Times New Roman" w:cs="Courier"/>
          <w:sz w:val="28"/>
          <w:szCs w:val="20"/>
          <w:lang w:val="fr-FR"/>
        </w:rPr>
        <w:t>juges BVerfG à la CJUE</w:t>
      </w:r>
      <w:r w:rsidR="00735908" w:rsidRPr="001B5A51">
        <w:rPr>
          <w:rFonts w:ascii="Times New Roman" w:hAnsi="Times New Roman" w:cs="Courier"/>
          <w:sz w:val="28"/>
          <w:szCs w:val="20"/>
          <w:lang w:val="fr-FR"/>
        </w:rPr>
        <w:t>. 2 tables rondes : pratique des juridictions allemandes en matière de renvoi préjudiciel et de renvoi constitutionnel (H.-J. Papier), et responsabilité de l’Etat pour violation du droit communautaire…</w:t>
      </w:r>
    </w:p>
    <w:p w:rsidR="008C5F28" w:rsidRDefault="008C5F28" w:rsidP="003378C9">
      <w:pPr>
        <w:spacing w:before="120"/>
        <w:rPr>
          <w:rFonts w:ascii="Times New Roman" w:hAnsi="Times New Roman"/>
          <w:sz w:val="28"/>
          <w:lang w:val="fr-FR"/>
        </w:rPr>
      </w:pPr>
    </w:p>
    <w:p w:rsidR="008C5F28" w:rsidRDefault="008C5F28" w:rsidP="003378C9">
      <w:pPr>
        <w:spacing w:before="120"/>
        <w:rPr>
          <w:rFonts w:ascii="Times New Roman" w:hAnsi="Times New Roman"/>
          <w:sz w:val="28"/>
          <w:lang w:val="fr-FR"/>
        </w:rPr>
      </w:pPr>
      <w:r>
        <w:rPr>
          <w:rFonts w:ascii="Times New Roman" w:hAnsi="Times New Roman"/>
          <w:sz w:val="28"/>
          <w:lang w:val="fr-FR"/>
        </w:rPr>
        <w:t>Une réunion avec les présidents des cours suprêmes des EM (Skouris, 9.12.)</w:t>
      </w:r>
    </w:p>
    <w:p w:rsidR="00BD146F" w:rsidRPr="001B5A51" w:rsidRDefault="00BD146F" w:rsidP="003378C9">
      <w:pPr>
        <w:spacing w:before="120"/>
        <w:rPr>
          <w:rFonts w:ascii="Times New Roman" w:hAnsi="Times New Roman"/>
          <w:sz w:val="28"/>
          <w:lang w:val="fr-FR"/>
        </w:rPr>
      </w:pPr>
    </w:p>
    <w:p w:rsidR="00D327AE" w:rsidRPr="001B5A51" w:rsidRDefault="00BD146F" w:rsidP="003378C9">
      <w:pPr>
        <w:spacing w:before="120"/>
        <w:rPr>
          <w:rFonts w:ascii="Times New Roman" w:hAnsi="Times New Roman"/>
          <w:b/>
          <w:sz w:val="28"/>
          <w:lang w:val="fr-FR"/>
        </w:rPr>
      </w:pPr>
      <w:r w:rsidRPr="001B5A51">
        <w:rPr>
          <w:rFonts w:ascii="Times New Roman" w:hAnsi="Times New Roman"/>
          <w:b/>
          <w:sz w:val="28"/>
          <w:lang w:val="fr-FR"/>
        </w:rPr>
        <w:tab/>
        <w:t>Participation à des colloques, publications scientifiques</w:t>
      </w:r>
    </w:p>
    <w:p w:rsidR="00D327AE" w:rsidRPr="001B5A51" w:rsidRDefault="00D327AE" w:rsidP="003378C9">
      <w:pPr>
        <w:spacing w:before="120"/>
        <w:rPr>
          <w:rFonts w:ascii="Times New Roman" w:hAnsi="Times New Roman"/>
          <w:sz w:val="28"/>
          <w:lang w:val="fr-FR"/>
        </w:rPr>
      </w:pPr>
      <w:r w:rsidRPr="001B5A51">
        <w:rPr>
          <w:rFonts w:ascii="Times New Roman" w:hAnsi="Times New Roman"/>
          <w:sz w:val="28"/>
          <w:lang w:val="fr-FR"/>
        </w:rPr>
        <w:tab/>
        <w:t>P. ex. Articles de Vosskuhle et Lenaerts dans EuConst</w:t>
      </w:r>
    </w:p>
    <w:p w:rsidR="00F5008E" w:rsidRPr="001B5A51" w:rsidRDefault="00F5008E" w:rsidP="003378C9">
      <w:pPr>
        <w:spacing w:before="120"/>
        <w:rPr>
          <w:rFonts w:ascii="Times New Roman" w:hAnsi="Times New Roman"/>
          <w:sz w:val="28"/>
          <w:lang w:val="fr-FR"/>
        </w:rPr>
      </w:pPr>
    </w:p>
    <w:p w:rsidR="008D4999" w:rsidRPr="001B5A51" w:rsidRDefault="00BD146F" w:rsidP="003378C9">
      <w:pPr>
        <w:spacing w:before="120"/>
        <w:rPr>
          <w:rFonts w:ascii="Times New Roman" w:hAnsi="Times New Roman"/>
          <w:b/>
          <w:sz w:val="28"/>
          <w:lang w:val="fr-FR"/>
        </w:rPr>
      </w:pPr>
      <w:r w:rsidRPr="001B5A51">
        <w:rPr>
          <w:rFonts w:ascii="Times New Roman" w:hAnsi="Times New Roman"/>
          <w:b/>
          <w:sz w:val="28"/>
          <w:lang w:val="fr-FR"/>
        </w:rPr>
        <w:tab/>
        <w:t>Interviews dans la presse et les médias</w:t>
      </w:r>
    </w:p>
    <w:p w:rsidR="00B95DC0" w:rsidRPr="001B5A51" w:rsidRDefault="00904101" w:rsidP="00977CC2">
      <w:pPr>
        <w:spacing w:before="120"/>
        <w:ind w:left="720"/>
        <w:rPr>
          <w:rFonts w:ascii="Times New Roman" w:hAnsi="Times New Roman"/>
          <w:sz w:val="28"/>
          <w:lang w:val="fr-FR"/>
        </w:rPr>
      </w:pPr>
      <w:r w:rsidRPr="001B5A51">
        <w:rPr>
          <w:rFonts w:ascii="Times New Roman" w:hAnsi="Times New Roman"/>
          <w:sz w:val="28"/>
          <w:lang w:val="fr-FR"/>
        </w:rPr>
        <w:t>Exemple extrême Roman Herzog dans FAZ 8 septembre 200</w:t>
      </w:r>
      <w:r w:rsidR="00B95DC0" w:rsidRPr="001B5A51">
        <w:rPr>
          <w:rFonts w:ascii="Times New Roman" w:hAnsi="Times New Roman"/>
          <w:sz w:val="28"/>
          <w:lang w:val="fr-FR"/>
        </w:rPr>
        <w:t>8 : Stop</w:t>
      </w:r>
      <w:r w:rsidRPr="001B5A51">
        <w:rPr>
          <w:rFonts w:ascii="Times New Roman" w:hAnsi="Times New Roman"/>
          <w:sz w:val="28"/>
          <w:lang w:val="fr-FR"/>
        </w:rPr>
        <w:t>pt den EuGH</w:t>
      </w:r>
      <w:r w:rsidR="00B95DC0" w:rsidRPr="001B5A51">
        <w:rPr>
          <w:rFonts w:ascii="Times New Roman" w:hAnsi="Times New Roman"/>
          <w:sz w:val="28"/>
          <w:lang w:val="fr-FR"/>
        </w:rPr>
        <w:t> ! avant la décision Honeywell du BVerfG (Mangold 2005)</w:t>
      </w:r>
    </w:p>
    <w:p w:rsidR="00904101" w:rsidRPr="001B5A51" w:rsidRDefault="008D4999" w:rsidP="00977CC2">
      <w:pPr>
        <w:spacing w:before="120"/>
        <w:ind w:left="720"/>
        <w:rPr>
          <w:rFonts w:ascii="Times New Roman" w:hAnsi="Times New Roman"/>
          <w:sz w:val="28"/>
          <w:lang w:val="fr-FR"/>
        </w:rPr>
      </w:pPr>
      <w:r w:rsidRPr="001B5A51">
        <w:rPr>
          <w:rFonts w:ascii="Times New Roman" w:hAnsi="Times New Roman"/>
          <w:sz w:val="28"/>
          <w:lang w:val="fr-FR"/>
        </w:rPr>
        <w:t xml:space="preserve">Par exemple interviews de Vosskuhle et Skouris rapportés par Die Welt 28 avril 2013, « animosités personnelles » Skouris a appelé les juges du BVerfG a plus de retenu dans leurs </w:t>
      </w:r>
      <w:r w:rsidR="00904101" w:rsidRPr="001B5A51">
        <w:rPr>
          <w:rFonts w:ascii="Times New Roman" w:hAnsi="Times New Roman"/>
          <w:sz w:val="28"/>
          <w:lang w:val="fr-FR"/>
        </w:rPr>
        <w:t>relations avec la presse « Medialer Rummel tut einem Gericht nicht gut ». Skouris critique aussi la jurisprudence sur les actes ultra vires et le fait de souligner cette controverse. Lui-même ne le fait pas.</w:t>
      </w:r>
    </w:p>
    <w:p w:rsidR="008D4999" w:rsidRPr="001B5A51" w:rsidRDefault="00904101" w:rsidP="00977CC2">
      <w:pPr>
        <w:spacing w:before="120"/>
        <w:ind w:left="720"/>
        <w:rPr>
          <w:rFonts w:ascii="Times New Roman" w:hAnsi="Times New Roman"/>
          <w:sz w:val="28"/>
          <w:lang w:val="fr-FR"/>
        </w:rPr>
      </w:pPr>
      <w:r w:rsidRPr="001B5A51">
        <w:rPr>
          <w:rFonts w:ascii="Times New Roman" w:hAnsi="Times New Roman"/>
          <w:sz w:val="28"/>
          <w:lang w:val="fr-FR"/>
        </w:rPr>
        <w:t>Vosskuhle replique en avril 2013 dans Welt am Sonntag « Für den Präsidenten eines sehr dynamischen Gerichts mit einer sehr dynamischen Rechtssprechung isr da seine etwas gewagte Aussage ». et le droit au dernier mot ne serait revendiqué que dans des situations exceptionnelles = expression d’une association vécue des juridictions européenne</w:t>
      </w:r>
    </w:p>
    <w:p w:rsidR="00574F17" w:rsidRPr="001B5A51" w:rsidRDefault="00574F17" w:rsidP="003378C9">
      <w:pPr>
        <w:spacing w:before="120"/>
        <w:rPr>
          <w:rFonts w:ascii="Times New Roman" w:hAnsi="Times New Roman"/>
          <w:sz w:val="28"/>
          <w:lang w:val="fr-FR"/>
        </w:rPr>
      </w:pPr>
    </w:p>
    <w:p w:rsidR="00574F17" w:rsidRPr="001B5A51" w:rsidRDefault="00574F17" w:rsidP="003378C9">
      <w:pPr>
        <w:pStyle w:val="Heading3"/>
        <w:spacing w:before="120"/>
        <w:rPr>
          <w:rFonts w:ascii="Times New Roman" w:hAnsi="Times New Roman" w:cs="Times New Roman"/>
          <w:sz w:val="28"/>
          <w:szCs w:val="24"/>
          <w:lang w:val="fr-FR"/>
        </w:rPr>
      </w:pPr>
      <w:r w:rsidRPr="001B5A51">
        <w:rPr>
          <w:rFonts w:ascii="Times New Roman" w:hAnsi="Times New Roman" w:cs="Times New Roman"/>
          <w:sz w:val="28"/>
          <w:szCs w:val="24"/>
          <w:lang w:val="fr-FR"/>
        </w:rPr>
        <w:t>B. Les avantages d’un dialogue direct dans le cadre du renvoi préjudiciel</w:t>
      </w:r>
    </w:p>
    <w:p w:rsidR="00B9493A" w:rsidRPr="001B5A51" w:rsidRDefault="00B9493A" w:rsidP="003378C9">
      <w:pPr>
        <w:spacing w:before="120"/>
        <w:rPr>
          <w:rFonts w:ascii="Times New Roman" w:hAnsi="Times New Roman"/>
          <w:sz w:val="28"/>
          <w:lang w:val="fr-FR"/>
        </w:rPr>
      </w:pPr>
    </w:p>
    <w:p w:rsidR="00977CC2" w:rsidRPr="001B5A51" w:rsidRDefault="00781366" w:rsidP="003378C9">
      <w:pPr>
        <w:spacing w:before="120"/>
        <w:rPr>
          <w:rFonts w:ascii="Times New Roman" w:hAnsi="Times New Roman"/>
          <w:sz w:val="28"/>
          <w:lang w:val="fr-FR"/>
        </w:rPr>
      </w:pPr>
      <w:r w:rsidRPr="001B5A51">
        <w:rPr>
          <w:rFonts w:ascii="Times New Roman" w:hAnsi="Times New Roman"/>
          <w:sz w:val="28"/>
          <w:lang w:val="fr-FR"/>
        </w:rPr>
        <w:t>Obligation reconnue / contournée par invocation abusive de CILFIT /</w:t>
      </w:r>
      <w:r w:rsidR="00742706" w:rsidRPr="001B5A51">
        <w:rPr>
          <w:rFonts w:ascii="Times New Roman" w:hAnsi="Times New Roman"/>
          <w:sz w:val="28"/>
          <w:lang w:val="fr-FR"/>
        </w:rPr>
        <w:t xml:space="preserve"> </w:t>
      </w:r>
      <w:r w:rsidR="00977CC2" w:rsidRPr="001B5A51">
        <w:rPr>
          <w:rFonts w:ascii="Times New Roman" w:hAnsi="Times New Roman"/>
          <w:sz w:val="28"/>
          <w:lang w:val="fr-FR"/>
        </w:rPr>
        <w:t xml:space="preserve">alors qu’elle recèle un potentiel d’influence </w:t>
      </w:r>
    </w:p>
    <w:p w:rsidR="00574F17" w:rsidRPr="001B5A51" w:rsidRDefault="00574F17" w:rsidP="003378C9">
      <w:pPr>
        <w:spacing w:before="120"/>
        <w:rPr>
          <w:rFonts w:ascii="Times New Roman" w:hAnsi="Times New Roman"/>
          <w:sz w:val="28"/>
          <w:lang w:val="fr-FR"/>
        </w:rPr>
      </w:pPr>
    </w:p>
    <w:p w:rsidR="008C5F28" w:rsidRDefault="008C5F28" w:rsidP="008C5F28">
      <w:pPr>
        <w:pStyle w:val="Heading4"/>
        <w:numPr>
          <w:ilvl w:val="0"/>
          <w:numId w:val="6"/>
        </w:numPr>
        <w:spacing w:before="120"/>
        <w:rPr>
          <w:szCs w:val="24"/>
          <w:lang w:val="fr-FR"/>
        </w:rPr>
      </w:pPr>
      <w:r>
        <w:rPr>
          <w:szCs w:val="24"/>
          <w:lang w:val="fr-FR"/>
        </w:rPr>
        <w:t>La CJUE discute de mesures pour améliorer le dialogue</w:t>
      </w:r>
    </w:p>
    <w:p w:rsidR="000D43E8" w:rsidRDefault="000D43E8" w:rsidP="008C5F28">
      <w:pPr>
        <w:rPr>
          <w:lang w:val="fr-FR"/>
        </w:rPr>
      </w:pPr>
      <w:r>
        <w:rPr>
          <w:lang w:val="fr-FR"/>
        </w:rPr>
        <w:t>La durée des affaires préjudicielles a baissée est de moins de 17 mois en moyenne (possibilité de la PPU, clôture par ordonnance, de la procédure accélérée et de statuer sans conclusions)</w:t>
      </w:r>
    </w:p>
    <w:p w:rsidR="008C5F28" w:rsidRDefault="008C5F28" w:rsidP="008C5F28">
      <w:pPr>
        <w:rPr>
          <w:lang w:val="fr-FR"/>
        </w:rPr>
      </w:pPr>
      <w:r>
        <w:rPr>
          <w:lang w:val="fr-FR"/>
        </w:rPr>
        <w:t xml:space="preserve">Cf. les recommandations à l’intention des juridictions nationales </w:t>
      </w:r>
      <w:r w:rsidR="00A67D4E">
        <w:rPr>
          <w:lang w:val="fr-FR"/>
        </w:rPr>
        <w:t>(</w:t>
      </w:r>
      <w:r w:rsidR="00DB346D">
        <w:rPr>
          <w:lang w:val="fr-FR"/>
        </w:rPr>
        <w:t xml:space="preserve">JOUE 26 novembre 2012, C 338/1) </w:t>
      </w:r>
      <w:r>
        <w:rPr>
          <w:lang w:val="fr-FR"/>
        </w:rPr>
        <w:t>dont une amélioration est discutée dans le « forum des membres » de la Cour</w:t>
      </w:r>
    </w:p>
    <w:p w:rsidR="008C5F28" w:rsidRDefault="008C5F28" w:rsidP="008C5F28">
      <w:pPr>
        <w:rPr>
          <w:lang w:val="fr-FR"/>
        </w:rPr>
      </w:pPr>
      <w:r>
        <w:rPr>
          <w:lang w:val="fr-FR"/>
        </w:rPr>
        <w:t>Article 94 RP de la Cour :</w:t>
      </w:r>
    </w:p>
    <w:p w:rsidR="008C5F28" w:rsidRPr="008C5F28" w:rsidRDefault="008C5F28" w:rsidP="008C5F28">
      <w:pPr>
        <w:rPr>
          <w:rFonts w:ascii="Times" w:hAnsi="Times"/>
          <w:szCs w:val="17"/>
          <w:lang w:val="de-DE"/>
        </w:rPr>
      </w:pPr>
      <w:r w:rsidRPr="008C5F28">
        <w:rPr>
          <w:rFonts w:ascii="Times" w:hAnsi="Times"/>
          <w:szCs w:val="17"/>
          <w:lang w:val="de-DE"/>
        </w:rPr>
        <w:t>Article 94</w:t>
      </w:r>
    </w:p>
    <w:p w:rsidR="008C5F28" w:rsidRPr="008C5F28" w:rsidRDefault="008C5F28" w:rsidP="008C5F28">
      <w:pPr>
        <w:rPr>
          <w:rFonts w:ascii="Times" w:hAnsi="Times"/>
          <w:szCs w:val="17"/>
          <w:lang w:val="de-DE"/>
        </w:rPr>
      </w:pPr>
      <w:r w:rsidRPr="008C5F28">
        <w:rPr>
          <w:rFonts w:ascii="Times" w:hAnsi="Times"/>
          <w:szCs w:val="17"/>
          <w:lang w:val="de-DE"/>
        </w:rPr>
        <w:t>Contenu de la demande de décision préjudicielle</w:t>
      </w:r>
    </w:p>
    <w:p w:rsidR="008C5F28" w:rsidRPr="008C5F28" w:rsidRDefault="008C5F28" w:rsidP="008C5F28">
      <w:pPr>
        <w:rPr>
          <w:rFonts w:ascii="Times" w:hAnsi="Times"/>
          <w:szCs w:val="17"/>
          <w:lang w:val="de-DE"/>
        </w:rPr>
      </w:pPr>
      <w:r w:rsidRPr="008C5F28">
        <w:rPr>
          <w:rFonts w:ascii="Times" w:hAnsi="Times"/>
          <w:szCs w:val="17"/>
          <w:lang w:val="de-DE"/>
        </w:rPr>
        <w:t>Outre le texte des questions posées à la Cour à titre préjudiciel, la demande de décision préjudicielle contient:</w:t>
      </w:r>
    </w:p>
    <w:p w:rsidR="008C5F28" w:rsidRPr="008C5F28" w:rsidRDefault="008C5F28" w:rsidP="008C5F28">
      <w:pPr>
        <w:rPr>
          <w:rFonts w:ascii="Times" w:hAnsi="Times"/>
          <w:szCs w:val="17"/>
          <w:lang w:val="de-DE"/>
        </w:rPr>
      </w:pPr>
      <w:r w:rsidRPr="008C5F28">
        <w:rPr>
          <w:rFonts w:ascii="Times" w:hAnsi="Times"/>
          <w:szCs w:val="17"/>
          <w:lang w:val="de-DE"/>
        </w:rPr>
        <w:t>a) un exposé sommaire de l’objet du litige ainsi que des faits pertinents, tels qu’ils ont été constatés par la juridiction de renvoi ou, à tout le moins, un exposé des données factuelles sur lesquelles les questions sont fondées;</w:t>
      </w:r>
    </w:p>
    <w:p w:rsidR="008C5F28" w:rsidRPr="008C5F28" w:rsidRDefault="008C5F28" w:rsidP="008C5F28">
      <w:pPr>
        <w:rPr>
          <w:rFonts w:ascii="Times" w:hAnsi="Times"/>
          <w:szCs w:val="17"/>
          <w:lang w:val="de-DE"/>
        </w:rPr>
      </w:pPr>
      <w:r w:rsidRPr="008C5F28">
        <w:rPr>
          <w:rFonts w:ascii="Times" w:hAnsi="Times"/>
          <w:szCs w:val="17"/>
          <w:lang w:val="de-DE"/>
        </w:rPr>
        <w:t>b) la teneur des dispositions nationales susceptibles de s’appliquer en l'espèce et, le cas échéant, la jurisprudence nationale pertinente;</w:t>
      </w:r>
    </w:p>
    <w:p w:rsidR="00A50608" w:rsidRDefault="008C5F28" w:rsidP="008C5F28">
      <w:pPr>
        <w:rPr>
          <w:rFonts w:ascii="Times" w:hAnsi="Times"/>
          <w:szCs w:val="17"/>
          <w:lang w:val="de-DE"/>
        </w:rPr>
      </w:pPr>
      <w:r w:rsidRPr="008C5F28">
        <w:rPr>
          <w:rFonts w:ascii="Times" w:hAnsi="Times"/>
          <w:szCs w:val="17"/>
          <w:lang w:val="de-DE"/>
        </w:rPr>
        <w:t>c) l'exposé des raisons qui ont conduit la juridiction de renvoi à s’interroger sur l’interprétation ou la validité de certaines dispositions du droit de l’Union, ainsi que le lien qu'elle établit entre ces dispositions et la législation nationale applicable au litige au principal.</w:t>
      </w:r>
    </w:p>
    <w:p w:rsidR="008C5F28" w:rsidRPr="008C5F28" w:rsidRDefault="008C5F28" w:rsidP="008C5F28">
      <w:pPr>
        <w:rPr>
          <w:rFonts w:ascii="Times" w:hAnsi="Times"/>
          <w:szCs w:val="17"/>
          <w:lang w:val="de-DE"/>
        </w:rPr>
      </w:pPr>
    </w:p>
    <w:p w:rsidR="000D43E8" w:rsidRDefault="000D43E8" w:rsidP="008C5F28">
      <w:pPr>
        <w:rPr>
          <w:rFonts w:ascii="Times" w:hAnsi="Times"/>
          <w:szCs w:val="17"/>
          <w:lang w:val="de-DE"/>
        </w:rPr>
      </w:pPr>
      <w:r>
        <w:rPr>
          <w:rFonts w:ascii="Times" w:hAnsi="Times"/>
          <w:szCs w:val="17"/>
          <w:lang w:val="de-DE"/>
        </w:rPr>
        <w:t>Le juge national peut indiquer quelle réponse elle propose. Cela est prévu par le RP pour la PPU</w:t>
      </w:r>
      <w:r w:rsidR="00E7511B">
        <w:rPr>
          <w:rFonts w:ascii="Times" w:hAnsi="Times"/>
          <w:szCs w:val="17"/>
          <w:lang w:val="de-DE"/>
        </w:rPr>
        <w:t>:</w:t>
      </w:r>
    </w:p>
    <w:p w:rsidR="000D43E8" w:rsidRPr="000D43E8" w:rsidRDefault="000D43E8" w:rsidP="000D43E8">
      <w:pPr>
        <w:rPr>
          <w:rFonts w:ascii="Times" w:hAnsi="Times"/>
          <w:sz w:val="17"/>
          <w:szCs w:val="17"/>
          <w:lang w:val="de-DE"/>
        </w:rPr>
      </w:pPr>
      <w:r w:rsidRPr="000D43E8">
        <w:rPr>
          <w:rFonts w:ascii="Times" w:hAnsi="Times"/>
          <w:sz w:val="17"/>
          <w:szCs w:val="17"/>
          <w:lang w:val="de-DE"/>
        </w:rPr>
        <w:t>Article 107</w:t>
      </w:r>
    </w:p>
    <w:p w:rsidR="000D43E8" w:rsidRPr="000D43E8" w:rsidRDefault="000D43E8" w:rsidP="000D43E8">
      <w:pPr>
        <w:rPr>
          <w:rFonts w:ascii="Times" w:hAnsi="Times"/>
          <w:sz w:val="17"/>
          <w:szCs w:val="17"/>
          <w:lang w:val="de-DE"/>
        </w:rPr>
      </w:pPr>
      <w:r w:rsidRPr="000D43E8">
        <w:rPr>
          <w:rFonts w:ascii="Times" w:hAnsi="Times"/>
          <w:sz w:val="17"/>
          <w:szCs w:val="17"/>
          <w:lang w:val="de-DE"/>
        </w:rPr>
        <w:t xml:space="preserve">Champ d’application de la procédure préjudicielle </w:t>
      </w:r>
    </w:p>
    <w:p w:rsidR="000D43E8" w:rsidRPr="000D43E8" w:rsidRDefault="000D43E8" w:rsidP="000D43E8">
      <w:pPr>
        <w:rPr>
          <w:rFonts w:ascii="Times" w:hAnsi="Times"/>
          <w:sz w:val="17"/>
          <w:szCs w:val="17"/>
          <w:lang w:val="de-DE"/>
        </w:rPr>
      </w:pPr>
      <w:r w:rsidRPr="000D43E8">
        <w:rPr>
          <w:rFonts w:ascii="Times" w:hAnsi="Times"/>
          <w:sz w:val="17"/>
          <w:szCs w:val="17"/>
          <w:lang w:val="de-DE"/>
        </w:rPr>
        <w:t>d'urgence</w:t>
      </w:r>
    </w:p>
    <w:p w:rsidR="000D43E8" w:rsidRPr="000D43E8" w:rsidRDefault="000D43E8" w:rsidP="000D43E8">
      <w:pPr>
        <w:rPr>
          <w:rFonts w:ascii="Times" w:hAnsi="Times"/>
          <w:sz w:val="17"/>
          <w:szCs w:val="17"/>
          <w:lang w:val="de-DE"/>
        </w:rPr>
      </w:pPr>
      <w:r w:rsidRPr="000D43E8">
        <w:rPr>
          <w:rFonts w:ascii="Times" w:hAnsi="Times"/>
          <w:sz w:val="17"/>
          <w:szCs w:val="17"/>
          <w:lang w:val="de-DE"/>
        </w:rPr>
        <w:t>1. Un renvoi préjudiciel qui soulève une ou plusieurs ques</w:t>
      </w:r>
    </w:p>
    <w:p w:rsidR="000D43E8" w:rsidRPr="000D43E8" w:rsidRDefault="000D43E8" w:rsidP="000D43E8">
      <w:pPr>
        <w:rPr>
          <w:rFonts w:ascii="Times" w:hAnsi="Times"/>
          <w:sz w:val="17"/>
          <w:szCs w:val="17"/>
          <w:lang w:val="de-DE"/>
        </w:rPr>
      </w:pPr>
      <w:r w:rsidRPr="000D43E8">
        <w:rPr>
          <w:rFonts w:ascii="Times" w:hAnsi="Times"/>
          <w:sz w:val="17"/>
          <w:szCs w:val="17"/>
          <w:lang w:val="de-DE"/>
        </w:rPr>
        <w:t xml:space="preserve">tions concernant les domaines visés au titre V de la troisième </w:t>
      </w:r>
    </w:p>
    <w:p w:rsidR="000D43E8" w:rsidRPr="000D43E8" w:rsidRDefault="000D43E8" w:rsidP="000D43E8">
      <w:pPr>
        <w:rPr>
          <w:rFonts w:ascii="Times" w:hAnsi="Times"/>
          <w:sz w:val="17"/>
          <w:szCs w:val="17"/>
          <w:lang w:val="de-DE"/>
        </w:rPr>
      </w:pPr>
      <w:r w:rsidRPr="000D43E8">
        <w:rPr>
          <w:rFonts w:ascii="Times" w:hAnsi="Times"/>
          <w:sz w:val="17"/>
          <w:szCs w:val="17"/>
          <w:lang w:val="de-DE"/>
        </w:rPr>
        <w:t xml:space="preserve">partie du traité sur le fonctionnement de l'Union européenne </w:t>
      </w:r>
    </w:p>
    <w:p w:rsidR="000D43E8" w:rsidRPr="000D43E8" w:rsidRDefault="000D43E8" w:rsidP="000D43E8">
      <w:pPr>
        <w:rPr>
          <w:rFonts w:ascii="Times" w:hAnsi="Times"/>
          <w:sz w:val="17"/>
          <w:szCs w:val="17"/>
          <w:lang w:val="de-DE"/>
        </w:rPr>
      </w:pPr>
      <w:r w:rsidRPr="000D43E8">
        <w:rPr>
          <w:rFonts w:ascii="Times" w:hAnsi="Times"/>
          <w:sz w:val="17"/>
          <w:szCs w:val="17"/>
          <w:lang w:val="de-DE"/>
        </w:rPr>
        <w:t>peut, à la demande de la juridiction de renvoi ou, à titre excep</w:t>
      </w:r>
    </w:p>
    <w:p w:rsidR="000D43E8" w:rsidRPr="000D43E8" w:rsidRDefault="000D43E8" w:rsidP="000D43E8">
      <w:pPr>
        <w:rPr>
          <w:rFonts w:ascii="Times" w:hAnsi="Times"/>
          <w:sz w:val="17"/>
          <w:szCs w:val="17"/>
          <w:lang w:val="de-DE"/>
        </w:rPr>
      </w:pPr>
      <w:r w:rsidRPr="000D43E8">
        <w:rPr>
          <w:rFonts w:ascii="Times" w:hAnsi="Times"/>
          <w:sz w:val="17"/>
          <w:szCs w:val="17"/>
          <w:lang w:val="de-DE"/>
        </w:rPr>
        <w:t>tionnel, d'office, être soumis à une procédure d'urgence déro</w:t>
      </w:r>
    </w:p>
    <w:p w:rsidR="000D43E8" w:rsidRPr="000D43E8" w:rsidRDefault="000D43E8" w:rsidP="000D43E8">
      <w:pPr>
        <w:rPr>
          <w:rFonts w:ascii="Times" w:hAnsi="Times"/>
          <w:sz w:val="17"/>
          <w:szCs w:val="17"/>
          <w:lang w:val="de-DE"/>
        </w:rPr>
      </w:pPr>
      <w:r w:rsidRPr="000D43E8">
        <w:rPr>
          <w:rFonts w:ascii="Times" w:hAnsi="Times"/>
          <w:sz w:val="17"/>
          <w:szCs w:val="17"/>
          <w:lang w:val="de-DE"/>
        </w:rPr>
        <w:t>geant aux dispositions du présent règlement.</w:t>
      </w:r>
    </w:p>
    <w:p w:rsidR="000D43E8" w:rsidRPr="000D43E8" w:rsidRDefault="000D43E8" w:rsidP="000D43E8">
      <w:pPr>
        <w:rPr>
          <w:rFonts w:ascii="Times" w:hAnsi="Times"/>
          <w:sz w:val="17"/>
          <w:szCs w:val="17"/>
          <w:lang w:val="de-DE"/>
        </w:rPr>
      </w:pPr>
      <w:r w:rsidRPr="000D43E8">
        <w:rPr>
          <w:rFonts w:ascii="Times" w:hAnsi="Times"/>
          <w:sz w:val="17"/>
          <w:szCs w:val="17"/>
          <w:lang w:val="de-DE"/>
        </w:rPr>
        <w:t xml:space="preserve">2. La juridiction de renvoi expose les circonstances de droit </w:t>
      </w:r>
    </w:p>
    <w:p w:rsidR="000D43E8" w:rsidRPr="000D43E8" w:rsidRDefault="000D43E8" w:rsidP="000D43E8">
      <w:pPr>
        <w:rPr>
          <w:rFonts w:ascii="Times" w:hAnsi="Times"/>
          <w:sz w:val="17"/>
          <w:szCs w:val="17"/>
          <w:lang w:val="de-DE"/>
        </w:rPr>
      </w:pPr>
      <w:r w:rsidRPr="000D43E8">
        <w:rPr>
          <w:rFonts w:ascii="Times" w:hAnsi="Times"/>
          <w:sz w:val="17"/>
          <w:szCs w:val="17"/>
          <w:lang w:val="de-DE"/>
        </w:rPr>
        <w:t xml:space="preserve">et de fait qui établissent l'urgence et justifient l'application de </w:t>
      </w:r>
    </w:p>
    <w:p w:rsidR="000D43E8" w:rsidRPr="000D43E8" w:rsidRDefault="000D43E8" w:rsidP="000D43E8">
      <w:pPr>
        <w:rPr>
          <w:rFonts w:ascii="Times" w:hAnsi="Times"/>
          <w:sz w:val="17"/>
          <w:szCs w:val="17"/>
          <w:lang w:val="de-DE"/>
        </w:rPr>
      </w:pPr>
      <w:r w:rsidRPr="000D43E8">
        <w:rPr>
          <w:rFonts w:ascii="Times" w:hAnsi="Times"/>
          <w:sz w:val="17"/>
          <w:szCs w:val="17"/>
          <w:lang w:val="de-DE"/>
        </w:rPr>
        <w:t xml:space="preserve">cette procédure dérogatoire, et elle indique, dans la mesure du </w:t>
      </w:r>
    </w:p>
    <w:p w:rsidR="000D43E8" w:rsidRPr="000D43E8" w:rsidRDefault="000D43E8" w:rsidP="000D43E8">
      <w:pPr>
        <w:rPr>
          <w:rFonts w:ascii="Times" w:hAnsi="Times"/>
          <w:sz w:val="17"/>
          <w:szCs w:val="17"/>
          <w:lang w:val="de-DE"/>
        </w:rPr>
      </w:pPr>
      <w:r w:rsidRPr="000D43E8">
        <w:rPr>
          <w:rFonts w:ascii="Times" w:hAnsi="Times"/>
          <w:sz w:val="17"/>
          <w:szCs w:val="17"/>
          <w:lang w:val="de-DE"/>
        </w:rPr>
        <w:t>possible, la réponse qu'elle propose aux questions préjudicielles.</w:t>
      </w:r>
    </w:p>
    <w:p w:rsidR="000D43E8" w:rsidRPr="000D43E8" w:rsidRDefault="000D43E8" w:rsidP="000D43E8">
      <w:pPr>
        <w:rPr>
          <w:rFonts w:ascii="Times" w:hAnsi="Times"/>
          <w:sz w:val="17"/>
          <w:szCs w:val="17"/>
          <w:lang w:val="de-DE"/>
        </w:rPr>
      </w:pPr>
      <w:r w:rsidRPr="000D43E8">
        <w:rPr>
          <w:rFonts w:ascii="Times" w:hAnsi="Times"/>
          <w:sz w:val="17"/>
          <w:szCs w:val="17"/>
          <w:lang w:val="de-DE"/>
        </w:rPr>
        <w:t xml:space="preserve">3. Si la juridiction de renvoi n'a pas présenté de demande </w:t>
      </w:r>
    </w:p>
    <w:p w:rsidR="000D43E8" w:rsidRPr="000D43E8" w:rsidRDefault="000D43E8" w:rsidP="000D43E8">
      <w:pPr>
        <w:rPr>
          <w:rFonts w:ascii="Times" w:hAnsi="Times"/>
          <w:sz w:val="17"/>
          <w:szCs w:val="17"/>
          <w:lang w:val="de-DE"/>
        </w:rPr>
      </w:pPr>
      <w:r w:rsidRPr="000D43E8">
        <w:rPr>
          <w:rFonts w:ascii="Times" w:hAnsi="Times"/>
          <w:sz w:val="17"/>
          <w:szCs w:val="17"/>
          <w:lang w:val="de-DE"/>
        </w:rPr>
        <w:t>visant à la mise en œuvre de la procédure d'urgence, le prési</w:t>
      </w:r>
    </w:p>
    <w:p w:rsidR="000D43E8" w:rsidRPr="000D43E8" w:rsidRDefault="000D43E8" w:rsidP="000D43E8">
      <w:pPr>
        <w:rPr>
          <w:rFonts w:ascii="Times" w:hAnsi="Times"/>
          <w:sz w:val="17"/>
          <w:szCs w:val="17"/>
          <w:lang w:val="de-DE"/>
        </w:rPr>
      </w:pPr>
      <w:r w:rsidRPr="000D43E8">
        <w:rPr>
          <w:rFonts w:ascii="Times" w:hAnsi="Times"/>
          <w:sz w:val="17"/>
          <w:szCs w:val="17"/>
          <w:lang w:val="de-DE"/>
        </w:rPr>
        <w:t xml:space="preserve">dent de la Cour peut, si l'application de cette procédure semble, </w:t>
      </w:r>
    </w:p>
    <w:p w:rsidR="000D43E8" w:rsidRPr="000D43E8" w:rsidRDefault="000D43E8" w:rsidP="000D43E8">
      <w:pPr>
        <w:rPr>
          <w:rFonts w:ascii="Times" w:hAnsi="Times"/>
          <w:sz w:val="17"/>
          <w:szCs w:val="17"/>
          <w:lang w:val="de-DE"/>
        </w:rPr>
      </w:pPr>
      <w:r w:rsidRPr="000D43E8">
        <w:rPr>
          <w:rFonts w:ascii="Times" w:hAnsi="Times"/>
          <w:sz w:val="17"/>
          <w:szCs w:val="17"/>
          <w:lang w:val="de-DE"/>
        </w:rPr>
        <w:t>à première vue, s'imposer, demander à la chambre visée à l'ar</w:t>
      </w:r>
    </w:p>
    <w:p w:rsidR="000D43E8" w:rsidRPr="000D43E8" w:rsidRDefault="000D43E8" w:rsidP="000D43E8">
      <w:pPr>
        <w:rPr>
          <w:rFonts w:ascii="Times" w:hAnsi="Times"/>
          <w:sz w:val="17"/>
          <w:szCs w:val="17"/>
          <w:lang w:val="de-DE"/>
        </w:rPr>
      </w:pPr>
      <w:r w:rsidRPr="000D43E8">
        <w:rPr>
          <w:rFonts w:ascii="Times" w:hAnsi="Times"/>
          <w:sz w:val="17"/>
          <w:szCs w:val="17"/>
          <w:lang w:val="de-DE"/>
        </w:rPr>
        <w:t xml:space="preserve">ticle 108 d'examiner la nécessité de soumettre le renvoi à ladite </w:t>
      </w:r>
    </w:p>
    <w:p w:rsidR="000D43E8" w:rsidRPr="000D43E8" w:rsidRDefault="000D43E8" w:rsidP="000D43E8">
      <w:pPr>
        <w:rPr>
          <w:rFonts w:ascii="Times" w:hAnsi="Times"/>
          <w:sz w:val="17"/>
          <w:szCs w:val="17"/>
          <w:lang w:val="de-DE"/>
        </w:rPr>
      </w:pPr>
      <w:r w:rsidRPr="000D43E8">
        <w:rPr>
          <w:rFonts w:ascii="Times" w:hAnsi="Times"/>
          <w:sz w:val="17"/>
          <w:szCs w:val="17"/>
          <w:lang w:val="de-DE"/>
        </w:rPr>
        <w:t>procédure.</w:t>
      </w:r>
    </w:p>
    <w:p w:rsidR="008C5F28" w:rsidRPr="008C5F28" w:rsidRDefault="008C5F28" w:rsidP="008C5F28">
      <w:pPr>
        <w:rPr>
          <w:rFonts w:ascii="Times" w:hAnsi="Times"/>
          <w:szCs w:val="17"/>
          <w:lang w:val="de-DE"/>
        </w:rPr>
      </w:pPr>
    </w:p>
    <w:p w:rsidR="00E7511B" w:rsidRPr="00E7511B" w:rsidRDefault="00E7511B" w:rsidP="00E7511B">
      <w:pPr>
        <w:rPr>
          <w:rFonts w:ascii="Times" w:hAnsi="Times"/>
          <w:sz w:val="17"/>
          <w:szCs w:val="17"/>
          <w:lang w:val="de-DE"/>
        </w:rPr>
      </w:pPr>
      <w:r w:rsidRPr="00E7511B">
        <w:rPr>
          <w:rFonts w:ascii="Times" w:hAnsi="Times"/>
          <w:sz w:val="17"/>
          <w:szCs w:val="17"/>
          <w:lang w:val="de-DE"/>
        </w:rPr>
        <w:t>Article 101</w:t>
      </w:r>
    </w:p>
    <w:p w:rsidR="00E7511B" w:rsidRPr="00E7511B" w:rsidRDefault="00E7511B" w:rsidP="00E7511B">
      <w:pPr>
        <w:rPr>
          <w:rFonts w:ascii="Times" w:hAnsi="Times"/>
          <w:sz w:val="17"/>
          <w:szCs w:val="17"/>
          <w:lang w:val="de-DE"/>
        </w:rPr>
      </w:pPr>
      <w:r w:rsidRPr="00E7511B">
        <w:rPr>
          <w:rFonts w:ascii="Times" w:hAnsi="Times"/>
          <w:sz w:val="17"/>
          <w:szCs w:val="17"/>
          <w:lang w:val="de-DE"/>
        </w:rPr>
        <w:t>Demande d’éclaircissements</w:t>
      </w:r>
    </w:p>
    <w:p w:rsidR="00E7511B" w:rsidRPr="00E7511B" w:rsidRDefault="00E7511B" w:rsidP="00E7511B">
      <w:pPr>
        <w:rPr>
          <w:rFonts w:ascii="Times" w:hAnsi="Times"/>
          <w:sz w:val="17"/>
          <w:szCs w:val="17"/>
          <w:lang w:val="de-DE"/>
        </w:rPr>
      </w:pPr>
      <w:r w:rsidRPr="00E7511B">
        <w:rPr>
          <w:rFonts w:ascii="Times" w:hAnsi="Times"/>
          <w:sz w:val="17"/>
          <w:szCs w:val="17"/>
          <w:lang w:val="de-DE"/>
        </w:rPr>
        <w:t xml:space="preserve">1. Sans préjudice des mesures d’organisation de la procédure </w:t>
      </w:r>
    </w:p>
    <w:p w:rsidR="00E7511B" w:rsidRPr="00E7511B" w:rsidRDefault="00E7511B" w:rsidP="00E7511B">
      <w:pPr>
        <w:rPr>
          <w:rFonts w:ascii="Times" w:hAnsi="Times"/>
          <w:sz w:val="17"/>
          <w:szCs w:val="17"/>
          <w:lang w:val="de-DE"/>
        </w:rPr>
      </w:pPr>
      <w:r w:rsidRPr="00E7511B">
        <w:rPr>
          <w:rFonts w:ascii="Times" w:hAnsi="Times"/>
          <w:sz w:val="17"/>
          <w:szCs w:val="17"/>
          <w:lang w:val="de-DE"/>
        </w:rPr>
        <w:t xml:space="preserve">et des mesures d’instruction prévues par le présent règlement, la </w:t>
      </w:r>
    </w:p>
    <w:p w:rsidR="00E7511B" w:rsidRPr="00E7511B" w:rsidRDefault="00E7511B" w:rsidP="00E7511B">
      <w:pPr>
        <w:rPr>
          <w:rFonts w:ascii="Times" w:hAnsi="Times"/>
          <w:sz w:val="17"/>
          <w:szCs w:val="17"/>
          <w:lang w:val="de-DE"/>
        </w:rPr>
      </w:pPr>
      <w:r w:rsidRPr="00E7511B">
        <w:rPr>
          <w:rFonts w:ascii="Times" w:hAnsi="Times"/>
          <w:sz w:val="17"/>
          <w:szCs w:val="17"/>
          <w:lang w:val="de-DE"/>
        </w:rPr>
        <w:t>Cour peut, l'avocat général entendu, demander des éclaircisse</w:t>
      </w:r>
    </w:p>
    <w:p w:rsidR="00E7511B" w:rsidRPr="00E7511B" w:rsidRDefault="00E7511B" w:rsidP="00E7511B">
      <w:pPr>
        <w:rPr>
          <w:rFonts w:ascii="Times" w:hAnsi="Times"/>
          <w:sz w:val="17"/>
          <w:szCs w:val="17"/>
          <w:lang w:val="de-DE"/>
        </w:rPr>
      </w:pPr>
      <w:r w:rsidRPr="00E7511B">
        <w:rPr>
          <w:rFonts w:ascii="Times" w:hAnsi="Times"/>
          <w:sz w:val="17"/>
          <w:szCs w:val="17"/>
          <w:lang w:val="de-DE"/>
        </w:rPr>
        <w:t>ments à la juridiction de renvoi dans le délai qu'elle fixe.</w:t>
      </w:r>
    </w:p>
    <w:p w:rsidR="00E7511B" w:rsidRPr="00E7511B" w:rsidRDefault="00E7511B" w:rsidP="00E7511B">
      <w:pPr>
        <w:rPr>
          <w:rFonts w:ascii="Times" w:hAnsi="Times"/>
          <w:sz w:val="17"/>
          <w:szCs w:val="17"/>
          <w:lang w:val="de-DE"/>
        </w:rPr>
      </w:pPr>
      <w:r w:rsidRPr="00E7511B">
        <w:rPr>
          <w:rFonts w:ascii="Times" w:hAnsi="Times"/>
          <w:sz w:val="17"/>
          <w:szCs w:val="17"/>
          <w:lang w:val="de-DE"/>
        </w:rPr>
        <w:t xml:space="preserve">2. La réponse de la juridiction de renvoi à cette demande est </w:t>
      </w:r>
    </w:p>
    <w:p w:rsidR="00E7511B" w:rsidRPr="00E7511B" w:rsidRDefault="00E7511B" w:rsidP="00E7511B">
      <w:pPr>
        <w:rPr>
          <w:rFonts w:ascii="Times" w:hAnsi="Times"/>
          <w:sz w:val="17"/>
          <w:szCs w:val="17"/>
          <w:lang w:val="de-DE"/>
        </w:rPr>
      </w:pPr>
      <w:r w:rsidRPr="00E7511B">
        <w:rPr>
          <w:rFonts w:ascii="Times" w:hAnsi="Times"/>
          <w:sz w:val="17"/>
          <w:szCs w:val="17"/>
          <w:lang w:val="de-DE"/>
        </w:rPr>
        <w:t>signifiée aux intéressés visés à l'article 23 du statut.</w:t>
      </w:r>
    </w:p>
    <w:p w:rsidR="008C5F28" w:rsidRPr="008C5F28" w:rsidRDefault="00E7511B" w:rsidP="008C5F28">
      <w:pPr>
        <w:rPr>
          <w:lang w:val="fr-FR"/>
        </w:rPr>
      </w:pPr>
      <w:r>
        <w:rPr>
          <w:lang w:val="fr-FR"/>
        </w:rPr>
        <w:t>Cette procédure n’est utilisée que rarement par la Cour et seulement pour éclairc</w:t>
      </w:r>
      <w:r w:rsidR="00A50608">
        <w:rPr>
          <w:lang w:val="fr-FR"/>
        </w:rPr>
        <w:t>ir les faits ou le drit interne, n’est pas apte pour pallier les éventuelles défaillances de la question</w:t>
      </w:r>
    </w:p>
    <w:p w:rsidR="00574F17" w:rsidRPr="001B5A51" w:rsidRDefault="00574F17" w:rsidP="003378C9">
      <w:pPr>
        <w:pStyle w:val="Heading4"/>
        <w:spacing w:before="120"/>
        <w:rPr>
          <w:szCs w:val="24"/>
          <w:lang w:val="fr-FR"/>
        </w:rPr>
      </w:pPr>
      <w:r w:rsidRPr="001B5A51">
        <w:rPr>
          <w:szCs w:val="24"/>
          <w:lang w:val="fr-FR"/>
        </w:rPr>
        <w:t>La reconnaissance d</w:t>
      </w:r>
      <w:r w:rsidR="009D630D" w:rsidRPr="001B5A51">
        <w:rPr>
          <w:szCs w:val="24"/>
          <w:lang w:val="fr-FR"/>
        </w:rPr>
        <w:t>e principe d</w:t>
      </w:r>
      <w:r w:rsidRPr="001B5A51">
        <w:rPr>
          <w:szCs w:val="24"/>
          <w:lang w:val="fr-FR"/>
        </w:rPr>
        <w:t>e l’obligation de renvoi préjudiciel par le BVerfG</w:t>
      </w:r>
    </w:p>
    <w:p w:rsidR="00A9239E" w:rsidRPr="001B5A51" w:rsidRDefault="00A9239E" w:rsidP="003378C9">
      <w:pPr>
        <w:spacing w:before="120"/>
        <w:rPr>
          <w:rFonts w:ascii="Times New Roman" w:hAnsi="Times New Roman"/>
          <w:sz w:val="28"/>
          <w:lang w:val="fr-FR"/>
        </w:rPr>
      </w:pPr>
      <w:r w:rsidRPr="001B5A51">
        <w:rPr>
          <w:rFonts w:ascii="Times New Roman" w:hAnsi="Times New Roman"/>
          <w:sz w:val="28"/>
          <w:lang w:val="fr-FR"/>
        </w:rPr>
        <w:t>article 267 TFUE</w:t>
      </w:r>
      <w:r w:rsidR="002011FA" w:rsidRPr="001B5A51">
        <w:rPr>
          <w:rFonts w:ascii="Times New Roman" w:hAnsi="Times New Roman"/>
          <w:sz w:val="28"/>
          <w:lang w:val="fr-FR"/>
        </w:rPr>
        <w:t xml:space="preserve"> </w:t>
      </w:r>
      <w:r w:rsidR="00C03A77" w:rsidRPr="001B5A51">
        <w:rPr>
          <w:rFonts w:ascii="Times New Roman" w:hAnsi="Times New Roman"/>
          <w:sz w:val="28"/>
          <w:lang w:val="fr-FR"/>
        </w:rPr>
        <w:t>al. 3 « juridiction nationale dont les décisions ne sont pas susceptibles d’un recours juridictionnel de droit interne »</w:t>
      </w:r>
    </w:p>
    <w:p w:rsidR="00574F17" w:rsidRPr="001B5A51" w:rsidRDefault="00574F17" w:rsidP="003378C9">
      <w:pPr>
        <w:spacing w:before="120"/>
        <w:rPr>
          <w:rFonts w:ascii="Times New Roman" w:hAnsi="Times New Roman"/>
          <w:sz w:val="28"/>
          <w:lang w:val="fr-FR"/>
        </w:rPr>
      </w:pPr>
    </w:p>
    <w:p w:rsidR="001C2AAD" w:rsidRPr="001B5A51" w:rsidRDefault="00574F17" w:rsidP="003378C9">
      <w:pPr>
        <w:pStyle w:val="ListParagraph"/>
        <w:numPr>
          <w:ilvl w:val="0"/>
          <w:numId w:val="1"/>
        </w:numPr>
        <w:spacing w:before="120"/>
        <w:rPr>
          <w:rFonts w:ascii="Times New Roman" w:hAnsi="Times New Roman"/>
          <w:sz w:val="28"/>
          <w:lang w:val="fr-FR"/>
        </w:rPr>
      </w:pPr>
      <w:r w:rsidRPr="001B5A51">
        <w:rPr>
          <w:rFonts w:ascii="Times New Roman" w:hAnsi="Times New Roman"/>
          <w:b/>
          <w:sz w:val="28"/>
          <w:lang w:val="fr-FR"/>
        </w:rPr>
        <w:t>fondée sur le G</w:t>
      </w:r>
      <w:r w:rsidR="00F5008E" w:rsidRPr="001B5A51">
        <w:rPr>
          <w:rFonts w:ascii="Times New Roman" w:hAnsi="Times New Roman"/>
          <w:b/>
          <w:sz w:val="28"/>
          <w:lang w:val="fr-FR"/>
        </w:rPr>
        <w:t>rundgesetz article 101</w:t>
      </w:r>
      <w:r w:rsidRPr="001B5A51">
        <w:rPr>
          <w:rFonts w:ascii="Times New Roman" w:hAnsi="Times New Roman"/>
          <w:b/>
          <w:sz w:val="28"/>
          <w:lang w:val="fr-FR"/>
        </w:rPr>
        <w:t xml:space="preserve"> (</w:t>
      </w:r>
      <w:r w:rsidR="00D32A01" w:rsidRPr="001B5A51">
        <w:rPr>
          <w:rFonts w:ascii="Times New Roman" w:hAnsi="Times New Roman"/>
          <w:b/>
          <w:sz w:val="28"/>
          <w:lang w:val="fr-FR"/>
        </w:rPr>
        <w:t xml:space="preserve">droit au </w:t>
      </w:r>
      <w:r w:rsidRPr="001B5A51">
        <w:rPr>
          <w:rFonts w:ascii="Times New Roman" w:hAnsi="Times New Roman"/>
          <w:b/>
          <w:sz w:val="28"/>
          <w:lang w:val="fr-FR"/>
        </w:rPr>
        <w:t xml:space="preserve">juge </w:t>
      </w:r>
      <w:r w:rsidR="00D32A01" w:rsidRPr="001B5A51">
        <w:rPr>
          <w:rFonts w:ascii="Times New Roman" w:hAnsi="Times New Roman"/>
          <w:b/>
          <w:sz w:val="28"/>
          <w:lang w:val="fr-FR"/>
        </w:rPr>
        <w:t>légal</w:t>
      </w:r>
      <w:r w:rsidRPr="001B5A51">
        <w:rPr>
          <w:rFonts w:ascii="Times New Roman" w:hAnsi="Times New Roman"/>
          <w:b/>
          <w:sz w:val="28"/>
          <w:lang w:val="fr-FR"/>
        </w:rPr>
        <w:t>)</w:t>
      </w:r>
      <w:r w:rsidR="00A9239E" w:rsidRPr="001B5A51">
        <w:rPr>
          <w:rFonts w:ascii="Times New Roman" w:hAnsi="Times New Roman"/>
          <w:sz w:val="28"/>
          <w:lang w:val="fr-FR"/>
        </w:rPr>
        <w:t xml:space="preserve"> </w:t>
      </w:r>
      <w:r w:rsidR="003A3571" w:rsidRPr="001B5A51">
        <w:rPr>
          <w:rFonts w:ascii="Times New Roman" w:hAnsi="Times New Roman"/>
          <w:sz w:val="28"/>
          <w:lang w:val="fr-FR"/>
        </w:rPr>
        <w:br/>
      </w:r>
      <w:r w:rsidR="00A9239E" w:rsidRPr="001B5A51">
        <w:rPr>
          <w:rFonts w:ascii="Times New Roman" w:hAnsi="Times New Roman"/>
          <w:sz w:val="28"/>
          <w:lang w:val="fr-FR"/>
        </w:rPr>
        <w:t>donc une obligation dont le respect est contrôlé par le BVerfG même sur plainte constitutionnelle. Une obligation dotée de valeur constitutionnelle.</w:t>
      </w:r>
    </w:p>
    <w:p w:rsidR="001C2AAD" w:rsidRPr="001B5A51" w:rsidRDefault="001C2AAD" w:rsidP="003378C9">
      <w:pPr>
        <w:spacing w:before="120"/>
        <w:ind w:left="720"/>
        <w:rPr>
          <w:rFonts w:ascii="Times New Roman" w:hAnsi="Times New Roman"/>
          <w:sz w:val="28"/>
          <w:lang w:val="fr-FR"/>
        </w:rPr>
      </w:pPr>
      <w:r w:rsidRPr="001B5A51">
        <w:rPr>
          <w:rFonts w:ascii="Times New Roman" w:hAnsi="Times New Roman"/>
          <w:sz w:val="28"/>
          <w:lang w:val="fr-FR"/>
        </w:rPr>
        <w:t>Solange II, 22 octobre 1986 , BVerfGE 73,339 confirmé ultérieurement par arrêt du 31 mai 1990 (BVerfGE 82, 159)</w:t>
      </w:r>
    </w:p>
    <w:p w:rsidR="009D630D" w:rsidRPr="001B5A51" w:rsidRDefault="00902F3E" w:rsidP="003378C9">
      <w:pPr>
        <w:spacing w:before="120"/>
        <w:ind w:left="720"/>
        <w:rPr>
          <w:rFonts w:ascii="Times New Roman" w:hAnsi="Times New Roman"/>
          <w:sz w:val="28"/>
          <w:lang w:val="fr-FR"/>
        </w:rPr>
      </w:pPr>
      <w:r w:rsidRPr="001B5A51">
        <w:rPr>
          <w:rFonts w:ascii="Times New Roman" w:hAnsi="Times New Roman"/>
          <w:sz w:val="28"/>
          <w:lang w:val="fr-FR"/>
        </w:rPr>
        <w:t>Kloppenburg, 8 avril 1987, BVerfGE 75,223</w:t>
      </w:r>
    </w:p>
    <w:p w:rsidR="00313024" w:rsidRPr="001B5A51" w:rsidRDefault="00313024" w:rsidP="003378C9">
      <w:pPr>
        <w:spacing w:before="120"/>
        <w:ind w:left="720"/>
        <w:rPr>
          <w:rFonts w:ascii="Times New Roman" w:hAnsi="Times New Roman"/>
          <w:sz w:val="28"/>
          <w:lang w:val="fr-FR"/>
        </w:rPr>
      </w:pPr>
      <w:r w:rsidRPr="001B5A51">
        <w:rPr>
          <w:rFonts w:ascii="Times New Roman" w:hAnsi="Times New Roman"/>
          <w:sz w:val="28"/>
          <w:lang w:val="fr-FR"/>
        </w:rPr>
        <w:t xml:space="preserve">BVerfG, 1 BvR 230/09 vom 25.2.2010, annulation d’un jugement de la Cour fédérale du travail (BAG) </w:t>
      </w:r>
      <w:r w:rsidR="00A9239E" w:rsidRPr="001B5A51">
        <w:rPr>
          <w:rFonts w:ascii="Times New Roman" w:hAnsi="Times New Roman"/>
          <w:sz w:val="28"/>
          <w:lang w:val="fr-FR"/>
        </w:rPr>
        <w:t xml:space="preserve">concrétise l’obligation de renvoi </w:t>
      </w:r>
      <w:r w:rsidR="00C03A77" w:rsidRPr="001B5A51">
        <w:rPr>
          <w:rFonts w:ascii="Times New Roman" w:hAnsi="Times New Roman"/>
          <w:sz w:val="28"/>
          <w:lang w:val="fr-FR"/>
        </w:rPr>
        <w:t>préjudiciel</w:t>
      </w:r>
      <w:r w:rsidR="00A9239E" w:rsidRPr="001B5A51">
        <w:rPr>
          <w:rFonts w:ascii="Times New Roman" w:hAnsi="Times New Roman"/>
          <w:sz w:val="28"/>
          <w:lang w:val="fr-FR"/>
        </w:rPr>
        <w:t xml:space="preserve"> en se basant plus strictement sur les critères développés par la Cour</w:t>
      </w:r>
      <w:r w:rsidR="00851D26" w:rsidRPr="001B5A51">
        <w:rPr>
          <w:rFonts w:ascii="Times New Roman" w:hAnsi="Times New Roman"/>
          <w:sz w:val="28"/>
          <w:lang w:val="fr-FR"/>
        </w:rPr>
        <w:t xml:space="preserve"> de justice dans l’arrêt CILFIT.</w:t>
      </w:r>
    </w:p>
    <w:p w:rsidR="00574F17" w:rsidRPr="001B5A51" w:rsidRDefault="00574F17" w:rsidP="003378C9">
      <w:pPr>
        <w:spacing w:before="120"/>
        <w:ind w:left="720"/>
        <w:rPr>
          <w:rFonts w:ascii="Times New Roman" w:hAnsi="Times New Roman"/>
          <w:sz w:val="28"/>
          <w:lang w:val="fr-FR"/>
        </w:rPr>
      </w:pPr>
    </w:p>
    <w:p w:rsidR="001C2AAD" w:rsidRPr="001B5A51" w:rsidRDefault="00574F17" w:rsidP="003378C9">
      <w:pPr>
        <w:pStyle w:val="ListParagraph"/>
        <w:numPr>
          <w:ilvl w:val="0"/>
          <w:numId w:val="1"/>
        </w:numPr>
        <w:spacing w:before="120"/>
        <w:rPr>
          <w:rFonts w:ascii="Times New Roman" w:hAnsi="Times New Roman"/>
          <w:b/>
          <w:sz w:val="28"/>
          <w:lang w:val="fr-FR"/>
        </w:rPr>
      </w:pPr>
      <w:r w:rsidRPr="001B5A51">
        <w:rPr>
          <w:rFonts w:ascii="Times New Roman" w:hAnsi="Times New Roman"/>
          <w:b/>
          <w:sz w:val="28"/>
          <w:lang w:val="fr-FR"/>
        </w:rPr>
        <w:t>reconnu en principe par le BVerfG</w:t>
      </w:r>
      <w:r w:rsidR="00313024" w:rsidRPr="001B5A51">
        <w:rPr>
          <w:rFonts w:ascii="Times New Roman" w:hAnsi="Times New Roman"/>
          <w:b/>
          <w:sz w:val="28"/>
          <w:lang w:val="fr-FR"/>
        </w:rPr>
        <w:t xml:space="preserve"> y compris pour lui-même</w:t>
      </w:r>
    </w:p>
    <w:p w:rsidR="006D278E" w:rsidRPr="001B5A51" w:rsidRDefault="006D278E" w:rsidP="003378C9">
      <w:pPr>
        <w:spacing w:before="120"/>
        <w:ind w:left="720"/>
        <w:rPr>
          <w:rFonts w:ascii="Times New Roman" w:hAnsi="Times New Roman"/>
          <w:sz w:val="28"/>
          <w:lang w:val="fr-FR"/>
        </w:rPr>
      </w:pPr>
      <w:r w:rsidRPr="001B5A51">
        <w:rPr>
          <w:rFonts w:ascii="Times New Roman" w:hAnsi="Times New Roman"/>
          <w:sz w:val="28"/>
          <w:lang w:val="fr-FR"/>
        </w:rPr>
        <w:t>Solange I, 1974, certaines questions incidentes peuvent être tranchées par le BVerfG à moins que ne soient réunies les conditions de l’article 177 qui s’impose aussi au BVerfG »</w:t>
      </w:r>
    </w:p>
    <w:p w:rsidR="0089626D" w:rsidRPr="001B5A51" w:rsidRDefault="006D278E" w:rsidP="003378C9">
      <w:pPr>
        <w:spacing w:before="120"/>
        <w:ind w:left="720"/>
        <w:rPr>
          <w:rFonts w:ascii="Times New Roman" w:hAnsi="Times New Roman"/>
          <w:sz w:val="28"/>
          <w:lang w:val="fr-FR"/>
        </w:rPr>
      </w:pPr>
      <w:r w:rsidRPr="001B5A51">
        <w:rPr>
          <w:rFonts w:ascii="Times New Roman" w:hAnsi="Times New Roman"/>
          <w:sz w:val="28"/>
          <w:lang w:val="fr-FR"/>
        </w:rPr>
        <w:t>Repris en 1979, « Vielleicht »</w:t>
      </w:r>
      <w:r w:rsidR="003A3571" w:rsidRPr="001B5A51">
        <w:rPr>
          <w:rFonts w:ascii="Times New Roman" w:hAnsi="Times New Roman"/>
          <w:sz w:val="28"/>
          <w:lang w:val="fr-FR"/>
        </w:rPr>
        <w:t> : pas de besoin d’un nouveau renvoi de questions déjà soumises par un TA allemand dont la mesure où l’arrêt préjudiciel de la CJCE lie aussi le BVerfG</w:t>
      </w:r>
    </w:p>
    <w:p w:rsidR="003A3571" w:rsidRPr="001B5A51" w:rsidRDefault="003A3571" w:rsidP="003378C9">
      <w:pPr>
        <w:spacing w:before="120"/>
        <w:ind w:left="720"/>
        <w:rPr>
          <w:rFonts w:ascii="Times New Roman" w:hAnsi="Times New Roman"/>
          <w:sz w:val="28"/>
          <w:lang w:val="fr-FR"/>
        </w:rPr>
      </w:pPr>
      <w:r w:rsidRPr="001B5A51">
        <w:rPr>
          <w:rFonts w:ascii="Times New Roman" w:hAnsi="Times New Roman"/>
          <w:sz w:val="28"/>
          <w:lang w:val="fr-FR"/>
        </w:rPr>
        <w:t>Par la suite le BVerfG n’a plus jamais évoqué une possible obligation pour elle-même de poser une question préjudicielle à la Cour de justice</w:t>
      </w:r>
    </w:p>
    <w:p w:rsidR="0089626D" w:rsidRPr="001B5A51" w:rsidRDefault="003A3571" w:rsidP="003378C9">
      <w:pPr>
        <w:spacing w:before="120"/>
        <w:ind w:left="720"/>
        <w:rPr>
          <w:rFonts w:ascii="Times New Roman" w:hAnsi="Times New Roman"/>
          <w:sz w:val="28"/>
          <w:lang w:val="fr-FR"/>
        </w:rPr>
      </w:pPr>
      <w:r w:rsidRPr="001B5A51">
        <w:rPr>
          <w:rFonts w:ascii="Times New Roman" w:hAnsi="Times New Roman"/>
          <w:sz w:val="28"/>
          <w:lang w:val="fr-FR"/>
        </w:rPr>
        <w:t xml:space="preserve">Mais, dans </w:t>
      </w:r>
      <w:r w:rsidR="0089626D" w:rsidRPr="001B5A51">
        <w:rPr>
          <w:rFonts w:ascii="Times New Roman" w:hAnsi="Times New Roman"/>
          <w:sz w:val="28"/>
          <w:lang w:val="fr-FR"/>
        </w:rPr>
        <w:t xml:space="preserve">Honeywell, </w:t>
      </w:r>
      <w:r w:rsidRPr="001B5A51">
        <w:rPr>
          <w:rFonts w:ascii="Times New Roman" w:hAnsi="Times New Roman"/>
          <w:sz w:val="28"/>
          <w:lang w:val="fr-FR"/>
        </w:rPr>
        <w:t xml:space="preserve">6 juillet 2010, </w:t>
      </w:r>
      <w:r w:rsidR="0089626D" w:rsidRPr="001B5A51">
        <w:rPr>
          <w:rFonts w:ascii="Times New Roman" w:hAnsi="Times New Roman"/>
          <w:sz w:val="28"/>
          <w:lang w:val="fr-FR"/>
        </w:rPr>
        <w:t xml:space="preserve">par. 60 : </w:t>
      </w:r>
    </w:p>
    <w:p w:rsidR="0089626D" w:rsidRPr="001B5A51" w:rsidRDefault="0089626D" w:rsidP="003378C9">
      <w:pPr>
        <w:spacing w:before="120"/>
        <w:ind w:left="720"/>
        <w:rPr>
          <w:rFonts w:ascii="Times New Roman" w:hAnsi="Times New Roman"/>
          <w:sz w:val="28"/>
          <w:lang w:val="fr-FR"/>
        </w:rPr>
      </w:pPr>
      <w:r w:rsidRPr="001B5A51">
        <w:rPr>
          <w:rFonts w:ascii="Times New Roman" w:hAnsi="Times New Roman"/>
          <w:sz w:val="28"/>
          <w:lang w:val="fr-FR"/>
        </w:rPr>
        <w:t>“Solange der Gerichtshof keine Gelegenheit hatte, über die aufgeworfenen unionsrechtlichen Fragen zu entscheiden, darf das Bundesverfassungsgericht für Deutschland keine Unanwendbarkeit des Unionsrechts feststellen (vgl. BVerfGE 123, 267 &lt;353&gt;).”</w:t>
      </w:r>
    </w:p>
    <w:p w:rsidR="00574F17" w:rsidRPr="001B5A51" w:rsidRDefault="00574F17" w:rsidP="003378C9">
      <w:pPr>
        <w:spacing w:before="120"/>
        <w:ind w:left="720"/>
        <w:rPr>
          <w:rFonts w:ascii="Times New Roman" w:hAnsi="Times New Roman"/>
          <w:sz w:val="28"/>
          <w:lang w:val="fr-FR"/>
        </w:rPr>
      </w:pPr>
    </w:p>
    <w:p w:rsidR="00574F17" w:rsidRPr="001B5A51" w:rsidRDefault="00574F17" w:rsidP="003378C9">
      <w:pPr>
        <w:pStyle w:val="ListParagraph"/>
        <w:numPr>
          <w:ilvl w:val="0"/>
          <w:numId w:val="1"/>
        </w:numPr>
        <w:spacing w:before="120"/>
        <w:rPr>
          <w:rFonts w:ascii="Times New Roman" w:hAnsi="Times New Roman"/>
          <w:b/>
          <w:sz w:val="28"/>
          <w:lang w:val="fr-FR"/>
        </w:rPr>
      </w:pPr>
      <w:r w:rsidRPr="001B5A51">
        <w:rPr>
          <w:rFonts w:ascii="Times New Roman" w:hAnsi="Times New Roman"/>
          <w:b/>
          <w:sz w:val="28"/>
          <w:lang w:val="fr-FR"/>
        </w:rPr>
        <w:t>jamais appliquée par le BVerfG lui-même</w:t>
      </w:r>
    </w:p>
    <w:p w:rsidR="00574F17" w:rsidRPr="001B5A51" w:rsidRDefault="00574F17" w:rsidP="003378C9">
      <w:pPr>
        <w:spacing w:before="120"/>
        <w:rPr>
          <w:rFonts w:ascii="Times New Roman" w:hAnsi="Times New Roman"/>
          <w:sz w:val="28"/>
          <w:lang w:val="fr-FR"/>
        </w:rPr>
      </w:pPr>
    </w:p>
    <w:p w:rsidR="00574F17" w:rsidRPr="001B5A51" w:rsidRDefault="00574F17" w:rsidP="003378C9">
      <w:pPr>
        <w:pStyle w:val="Heading4"/>
        <w:spacing w:before="120"/>
        <w:rPr>
          <w:szCs w:val="24"/>
          <w:lang w:val="fr-FR"/>
        </w:rPr>
      </w:pPr>
      <w:r w:rsidRPr="001B5A51">
        <w:rPr>
          <w:szCs w:val="24"/>
          <w:lang w:val="fr-FR"/>
        </w:rPr>
        <w:t>2. Le recours abusif à l’exception de l’acte clair et la jurisprudence « CILFIT »</w:t>
      </w:r>
    </w:p>
    <w:p w:rsidR="00034D11" w:rsidRPr="001B5A51" w:rsidRDefault="00851D26" w:rsidP="003378C9">
      <w:pPr>
        <w:spacing w:before="120"/>
        <w:rPr>
          <w:rFonts w:ascii="Times New Roman" w:hAnsi="Times New Roman"/>
          <w:sz w:val="28"/>
          <w:szCs w:val="20"/>
          <w:lang w:val="fr-FR"/>
        </w:rPr>
      </w:pPr>
      <w:r w:rsidRPr="001B5A51">
        <w:rPr>
          <w:rFonts w:ascii="Times New Roman" w:hAnsi="Times New Roman"/>
          <w:sz w:val="28"/>
          <w:szCs w:val="20"/>
          <w:lang w:val="fr-FR"/>
        </w:rPr>
        <w:t>Exceptions à l’obligation de renvoi, CILFIT, 6 octobre 1982:</w:t>
      </w:r>
    </w:p>
    <w:p w:rsidR="00851D26" w:rsidRPr="001B5A51" w:rsidRDefault="00851D26" w:rsidP="003378C9">
      <w:pPr>
        <w:pStyle w:val="ListParagraph"/>
        <w:numPr>
          <w:ilvl w:val="0"/>
          <w:numId w:val="4"/>
        </w:numPr>
        <w:spacing w:before="120"/>
        <w:rPr>
          <w:rFonts w:ascii="Times New Roman" w:hAnsi="Times New Roman"/>
          <w:szCs w:val="20"/>
          <w:lang w:val="fr-FR"/>
        </w:rPr>
      </w:pPr>
      <w:r w:rsidRPr="001B5A51">
        <w:rPr>
          <w:rFonts w:ascii="Times New Roman" w:hAnsi="Times New Roman"/>
          <w:szCs w:val="20"/>
          <w:lang w:val="fr-FR"/>
        </w:rPr>
        <w:t>„ question ayant déjà fait l'objet d'une décision à titre préjudiciel dans une espèce analogue“</w:t>
      </w:r>
    </w:p>
    <w:p w:rsidR="00034D11" w:rsidRPr="001B5A51" w:rsidRDefault="00034D11" w:rsidP="003378C9">
      <w:pPr>
        <w:pStyle w:val="ListParagraph"/>
        <w:numPr>
          <w:ilvl w:val="0"/>
          <w:numId w:val="4"/>
        </w:numPr>
        <w:spacing w:before="120"/>
        <w:rPr>
          <w:rFonts w:ascii="Times New Roman" w:hAnsi="Times New Roman"/>
          <w:szCs w:val="20"/>
          <w:lang w:val="fr-FR"/>
        </w:rPr>
      </w:pPr>
      <w:r w:rsidRPr="001B5A51">
        <w:rPr>
          <w:rFonts w:ascii="Times New Roman" w:hAnsi="Times New Roman"/>
          <w:szCs w:val="20"/>
          <w:lang w:val="fr-FR"/>
        </w:rPr>
        <w:t>une jurisprudence établie de la Cour résolvant le point de droit en cause, quelle que soit la nature des procédures qui ont donné lieu à cette jurisprudence, même à défaut d'une stricte identité des questions en litige.</w:t>
      </w:r>
    </w:p>
    <w:p w:rsidR="009E31DC" w:rsidRDefault="00034D11" w:rsidP="003378C9">
      <w:pPr>
        <w:pStyle w:val="ListParagraph"/>
        <w:numPr>
          <w:ilvl w:val="0"/>
          <w:numId w:val="4"/>
        </w:numPr>
        <w:spacing w:before="120"/>
        <w:rPr>
          <w:rFonts w:ascii="Times New Roman" w:hAnsi="Times New Roman"/>
          <w:szCs w:val="20"/>
          <w:lang w:val="fr-FR"/>
        </w:rPr>
      </w:pPr>
      <w:r w:rsidRPr="001B5A51">
        <w:rPr>
          <w:rFonts w:ascii="Times New Roman" w:hAnsi="Times New Roman"/>
          <w:szCs w:val="20"/>
          <w:lang w:val="fr-FR"/>
        </w:rPr>
        <w:t xml:space="preserve">l'application correcte du droit communautaire peut s'imposer avec une évidence telle qu'elle ne laisse place à </w:t>
      </w:r>
      <w:r w:rsidRPr="001B5A51">
        <w:rPr>
          <w:rFonts w:ascii="Times New Roman" w:hAnsi="Times New Roman"/>
          <w:b/>
          <w:szCs w:val="20"/>
          <w:lang w:val="fr-FR"/>
        </w:rPr>
        <w:t>aucun doute raisonnable</w:t>
      </w:r>
      <w:r w:rsidRPr="001B5A51">
        <w:rPr>
          <w:rFonts w:ascii="Times New Roman" w:hAnsi="Times New Roman"/>
          <w:szCs w:val="20"/>
          <w:lang w:val="fr-FR"/>
        </w:rPr>
        <w:t xml:space="preserve"> sur la manière de résoudre la question posée. Avant de conclure à 'existence d'une telle situation, la juridiction nationale doit être convaincue que la même évidence s'imposerait également aux juridictions des autres États membres et à la Cour de justice. Ce n'est que si ces conditions sont remplies que la juridiction nationale pourra s'abstenir de soumettre cette question à la Cour et la résoudre sous sa propre responsabilité.</w:t>
      </w:r>
    </w:p>
    <w:p w:rsidR="009E31DC" w:rsidRDefault="009E31DC" w:rsidP="009E31DC">
      <w:pPr>
        <w:spacing w:before="120"/>
        <w:rPr>
          <w:rFonts w:ascii="Times New Roman" w:hAnsi="Times New Roman"/>
          <w:szCs w:val="20"/>
          <w:lang w:val="fr-FR"/>
        </w:rPr>
      </w:pPr>
    </w:p>
    <w:p w:rsidR="009E31DC" w:rsidRDefault="009E31DC" w:rsidP="009E31DC">
      <w:pPr>
        <w:pStyle w:val="c19centre"/>
        <w:spacing w:before="2" w:after="2"/>
        <w:ind w:left="720"/>
      </w:pPr>
      <w:r w:rsidRPr="009E31DC">
        <w:rPr>
          <w:highlight w:val="yellow"/>
        </w:rPr>
        <w:t>Cp. ARRÊT DE LA COUR (quatrième chambre) juillet 2013, Dans l’affaire C</w:t>
      </w:r>
      <w:r w:rsidRPr="009E31DC">
        <w:rPr>
          <w:highlight w:val="yellow"/>
        </w:rPr>
        <w:noBreakHyphen/>
        <w:t xml:space="preserve">136/12, </w:t>
      </w:r>
      <w:r w:rsidRPr="009E31DC">
        <w:rPr>
          <w:b/>
          <w:highlight w:val="yellow"/>
        </w:rPr>
        <w:t>Consiglio nazionale dei geologi</w:t>
      </w:r>
    </w:p>
    <w:p w:rsidR="009E31DC" w:rsidRDefault="009E31DC" w:rsidP="009E31DC">
      <w:pPr>
        <w:spacing w:before="120"/>
      </w:pPr>
      <w:bookmarkStart w:id="1" w:name="point26"/>
      <w:r>
        <w:t>26</w:t>
      </w:r>
      <w:bookmarkEnd w:id="1"/>
      <w:r>
        <w:t>      Il découle du rapport entre les deuxième et troisième alinéas de l’article 267 TFUE que les juridictions visées par le troisième alinéa jouissent du même pouvoir d’appréciation que toutes autres juridictions nationales en ce qui concerne le point de savoir si une décision sur un point de droit de l’Union est nécessaire pour leur permettre de rendre leur décision. Ces juridictions ne sont, dès lors, pas tenues de renvoyer une question d’interprétation de droit de l’Union soulevée devant elles si la question n’est pas pertinente, c’est-à-dire dans les cas où la réponse à cette question, quelle qu’elle soit, ne pourrait avoir aucune influence sur la solution du litige (arrêt du 6 octobre 1982, Cilfit e.a., 283/81, Rec. p. 3415, point 10).</w:t>
      </w:r>
    </w:p>
    <w:p w:rsidR="009E31DC" w:rsidRDefault="009E31DC" w:rsidP="009E31DC">
      <w:pPr>
        <w:spacing w:before="120"/>
        <w:rPr>
          <w:rFonts w:ascii="Times New Roman" w:hAnsi="Times New Roman"/>
          <w:szCs w:val="20"/>
          <w:lang w:val="fr-FR"/>
        </w:rPr>
      </w:pPr>
      <w:bookmarkStart w:id="2" w:name="point34"/>
      <w:r>
        <w:t>34</w:t>
      </w:r>
      <w:bookmarkEnd w:id="2"/>
      <w:r>
        <w:t xml:space="preserve">      S’agissant, ensuite, de l’incidence éventuelle de </w:t>
      </w:r>
      <w:r w:rsidRPr="009E31DC">
        <w:rPr>
          <w:b/>
        </w:rPr>
        <w:t>l’exigence de la durée raisonnable de la procédure</w:t>
      </w:r>
      <w:r>
        <w:t xml:space="preserve"> également évoquée par la juridiction de renvoi, il convient de relever que l’interrogation de ladite juridiction n’a été formulée par celle-ci que dans l’hypothèse où l’article 267 TFUE devrait être interprété en ce sens que ladite disposition impose à la juridiction nationale de dernière instance une obligation inconditionnelle de renvoi à titre préjudiciel d’une question d’interprétation du droit de l’Union soulevée par l’une des parties au litige. Dans ces conditions, et eu égard à ce qui ressort des points 25 à 33 du présent arrêt, il n’y a pas lieu de répondre à ladite interrogation.</w:t>
      </w:r>
    </w:p>
    <w:p w:rsidR="009E31DC" w:rsidRDefault="009E31DC" w:rsidP="009E31DC">
      <w:pPr>
        <w:spacing w:before="120"/>
      </w:pPr>
      <w:bookmarkStart w:id="3" w:name="point36"/>
      <w:r>
        <w:t>36</w:t>
      </w:r>
      <w:bookmarkEnd w:id="3"/>
      <w:r>
        <w:t xml:space="preserve">      Au vu des considérations qui précèdent, il convient de répondre aux questions portant sur l’article 267, troisième alinéa, TFUE que cette disposition doit être interprétée en ce sens </w:t>
      </w:r>
      <w:r w:rsidRPr="009E31DC">
        <w:rPr>
          <w:b/>
        </w:rPr>
        <w:t>qu’il appartient à la seule juridiction de renvoi</w:t>
      </w:r>
      <w:r>
        <w:t xml:space="preserve"> de déterminer et de formuler les questions préjudicielles portant sur l’interprétation du droit de l’Union qu’elle juge pertinentes pour la solution du litige au principal. Des règles nationales qui auraient pour effet de porter atteinte à cette compétence doivent être laissées inappliquées.</w:t>
      </w:r>
    </w:p>
    <w:p w:rsidR="009E31DC" w:rsidRDefault="009E31DC" w:rsidP="009E31DC">
      <w:pPr>
        <w:spacing w:before="120"/>
      </w:pPr>
      <w:r>
        <w:t>Donc l’obligation n’est pas inconditionnelle (indépendance du du juge national à l’égard des demandes des parties au principa) Anne Rigaux, Europe octobre 2013, comm. 392, p. 18</w:t>
      </w:r>
    </w:p>
    <w:p w:rsidR="009E31DC" w:rsidRDefault="009E31DC" w:rsidP="009E31DC">
      <w:pPr>
        <w:spacing w:before="120"/>
      </w:pPr>
    </w:p>
    <w:p w:rsidR="003F6AB6" w:rsidRDefault="003F6AB6" w:rsidP="009E31DC">
      <w:pPr>
        <w:spacing w:before="120"/>
        <w:rPr>
          <w:rFonts w:ascii="Times New Roman" w:hAnsi="Times New Roman"/>
          <w:szCs w:val="20"/>
          <w:lang w:val="fr-FR"/>
        </w:rPr>
      </w:pPr>
    </w:p>
    <w:p w:rsidR="00851D26" w:rsidRPr="009E31DC" w:rsidRDefault="00851D26" w:rsidP="009E31DC">
      <w:pPr>
        <w:spacing w:before="120"/>
        <w:rPr>
          <w:rFonts w:ascii="Times New Roman" w:hAnsi="Times New Roman"/>
          <w:szCs w:val="20"/>
          <w:lang w:val="fr-FR"/>
        </w:rPr>
      </w:pPr>
    </w:p>
    <w:p w:rsidR="006103E1" w:rsidRPr="001B5A51" w:rsidRDefault="002C4ACE" w:rsidP="003378C9">
      <w:pPr>
        <w:spacing w:before="120"/>
        <w:rPr>
          <w:rFonts w:ascii="Times New Roman" w:hAnsi="Times New Roman"/>
          <w:sz w:val="28"/>
          <w:lang w:val="fr-FR"/>
        </w:rPr>
      </w:pPr>
      <w:r w:rsidRPr="001B5A51">
        <w:rPr>
          <w:rFonts w:ascii="Times New Roman" w:hAnsi="Times New Roman"/>
          <w:sz w:val="28"/>
          <w:lang w:val="fr-FR"/>
        </w:rPr>
        <w:t xml:space="preserve">Déjà dans l’arrêt du </w:t>
      </w:r>
      <w:r w:rsidRPr="001B5A51">
        <w:rPr>
          <w:rFonts w:ascii="Times New Roman" w:hAnsi="Times New Roman"/>
          <w:b/>
          <w:sz w:val="28"/>
          <w:lang w:val="fr-FR"/>
        </w:rPr>
        <w:t>19 juillet 2011, « meubles Le Corbusier </w:t>
      </w:r>
      <w:r w:rsidRPr="001B5A51">
        <w:rPr>
          <w:rFonts w:ascii="Times New Roman" w:hAnsi="Times New Roman"/>
          <w:sz w:val="28"/>
          <w:lang w:val="fr-FR"/>
        </w:rPr>
        <w:t>», référence à CILFIT et théorie de l’acte clair, point 80 pour justifier le non renvoi par le BVerfG</w:t>
      </w:r>
    </w:p>
    <w:p w:rsidR="00034D11" w:rsidRPr="001B5A51" w:rsidRDefault="00034D11" w:rsidP="003378C9">
      <w:pPr>
        <w:spacing w:before="120"/>
        <w:rPr>
          <w:rFonts w:ascii="Times New Roman" w:hAnsi="Times New Roman"/>
          <w:sz w:val="28"/>
          <w:lang w:val="fr-FR"/>
        </w:rPr>
      </w:pPr>
      <w:r w:rsidRPr="001B5A51">
        <w:rPr>
          <w:rFonts w:ascii="Times New Roman" w:hAnsi="Times New Roman"/>
          <w:sz w:val="28"/>
          <w:lang w:val="fr-FR"/>
        </w:rPr>
        <w:t>Dans le ca</w:t>
      </w:r>
      <w:r w:rsidR="002C4ACE" w:rsidRPr="001B5A51">
        <w:rPr>
          <w:rFonts w:ascii="Times New Roman" w:hAnsi="Times New Roman"/>
          <w:sz w:val="28"/>
          <w:lang w:val="fr-FR"/>
        </w:rPr>
        <w:t xml:space="preserve">s d’espèce, </w:t>
      </w:r>
      <w:r w:rsidR="002C4ACE" w:rsidRPr="001B5A51">
        <w:rPr>
          <w:rFonts w:ascii="Times New Roman" w:hAnsi="Times New Roman"/>
          <w:b/>
          <w:sz w:val="28"/>
          <w:lang w:val="fr-FR"/>
        </w:rPr>
        <w:t>fichier anti-terrorisme</w:t>
      </w:r>
      <w:r w:rsidRPr="001B5A51">
        <w:rPr>
          <w:rFonts w:ascii="Times New Roman" w:hAnsi="Times New Roman"/>
          <w:b/>
          <w:sz w:val="28"/>
          <w:lang w:val="fr-FR"/>
        </w:rPr>
        <w:t xml:space="preserve">, </w:t>
      </w:r>
      <w:r w:rsidR="00F40AE1" w:rsidRPr="001B5A51">
        <w:rPr>
          <w:rFonts w:ascii="Times New Roman" w:hAnsi="Times New Roman"/>
          <w:b/>
          <w:sz w:val="28"/>
          <w:lang w:val="fr-FR"/>
        </w:rPr>
        <w:t>l’arrêt du 24 avril 2013 </w:t>
      </w:r>
      <w:r w:rsidR="00F40AE1" w:rsidRPr="001B5A51">
        <w:rPr>
          <w:rFonts w:ascii="Times New Roman" w:hAnsi="Times New Roman"/>
          <w:sz w:val="28"/>
          <w:lang w:val="fr-FR"/>
        </w:rPr>
        <w:t xml:space="preserve">: </w:t>
      </w:r>
      <w:r w:rsidR="00785F01" w:rsidRPr="001B5A51">
        <w:rPr>
          <w:rFonts w:ascii="Times New Roman" w:hAnsi="Times New Roman"/>
          <w:sz w:val="28"/>
          <w:lang w:val="fr-FR"/>
        </w:rPr>
        <w:t>points 88 à 91</w:t>
      </w:r>
      <w:r w:rsidR="006103E1" w:rsidRPr="001B5A51">
        <w:rPr>
          <w:rFonts w:ascii="Times New Roman" w:hAnsi="Times New Roman"/>
          <w:sz w:val="28"/>
          <w:lang w:val="fr-FR"/>
        </w:rPr>
        <w:t>, c’est encore plus tranché</w:t>
      </w:r>
      <w:r w:rsidR="00977CC2" w:rsidRPr="001B5A51">
        <w:rPr>
          <w:rFonts w:ascii="Times New Roman" w:hAnsi="Times New Roman"/>
          <w:sz w:val="28"/>
          <w:lang w:val="fr-FR"/>
        </w:rPr>
        <w:t> :</w:t>
      </w:r>
    </w:p>
    <w:p w:rsidR="00034D11" w:rsidRPr="001B5A51" w:rsidRDefault="00F40AE1" w:rsidP="003378C9">
      <w:pPr>
        <w:spacing w:before="120"/>
        <w:rPr>
          <w:rFonts w:ascii="Times New Roman" w:hAnsi="Times New Roman"/>
          <w:sz w:val="28"/>
          <w:lang w:val="fr-FR"/>
        </w:rPr>
      </w:pPr>
      <w:r w:rsidRPr="001B5A51">
        <w:rPr>
          <w:rFonts w:ascii="Times New Roman" w:hAnsi="Times New Roman"/>
          <w:sz w:val="28"/>
          <w:lang w:val="fr-FR"/>
        </w:rPr>
        <w:t xml:space="preserve">- la plainte constitutionnelle ne </w:t>
      </w:r>
      <w:r w:rsidR="00F24DA4" w:rsidRPr="001B5A51">
        <w:rPr>
          <w:rFonts w:ascii="Times New Roman" w:hAnsi="Times New Roman"/>
          <w:sz w:val="28"/>
          <w:lang w:val="fr-FR"/>
        </w:rPr>
        <w:t xml:space="preserve">donne pas lieu à </w:t>
      </w:r>
      <w:r w:rsidR="00785F01" w:rsidRPr="001B5A51">
        <w:rPr>
          <w:rFonts w:ascii="Times New Roman" w:hAnsi="Times New Roman"/>
          <w:sz w:val="28"/>
          <w:lang w:val="fr-FR"/>
        </w:rPr>
        <w:t>une procédure préjudicielle devant la CJUE</w:t>
      </w:r>
      <w:r w:rsidR="00F24DA4" w:rsidRPr="001B5A51">
        <w:rPr>
          <w:rFonts w:ascii="Times New Roman" w:hAnsi="Times New Roman"/>
          <w:sz w:val="28"/>
          <w:lang w:val="fr-FR"/>
        </w:rPr>
        <w:t xml:space="preserve"> afin de clarifier la portée de la protection des droits fondamentaux du droit de l’Union par rapport à un échange de données </w:t>
      </w:r>
      <w:r w:rsidR="00B95DC0" w:rsidRPr="001B5A51">
        <w:rPr>
          <w:rFonts w:ascii="Times New Roman" w:hAnsi="Times New Roman"/>
          <w:sz w:val="28"/>
          <w:lang w:val="fr-FR"/>
        </w:rPr>
        <w:t>entre différentes autorités de sécurité</w:t>
      </w:r>
    </w:p>
    <w:p w:rsidR="008312DE" w:rsidRPr="001B5A51" w:rsidRDefault="00C672EB" w:rsidP="003378C9">
      <w:pPr>
        <w:spacing w:before="120"/>
        <w:rPr>
          <w:rFonts w:ascii="Times New Roman" w:hAnsi="Times New Roman"/>
          <w:sz w:val="28"/>
          <w:lang w:val="fr-FR"/>
        </w:rPr>
      </w:pPr>
      <w:r w:rsidRPr="001B5A51">
        <w:rPr>
          <w:rFonts w:ascii="Times New Roman" w:hAnsi="Times New Roman"/>
          <w:sz w:val="28"/>
          <w:lang w:val="fr-FR"/>
        </w:rPr>
        <w:t xml:space="preserve">- </w:t>
      </w:r>
      <w:r w:rsidR="00B95DC0" w:rsidRPr="001B5A51">
        <w:rPr>
          <w:rFonts w:ascii="Times New Roman" w:hAnsi="Times New Roman"/>
          <w:sz w:val="28"/>
          <w:lang w:val="fr-FR"/>
        </w:rPr>
        <w:t>CILFIT, acte clair</w:t>
      </w:r>
      <w:r w:rsidR="008312DE" w:rsidRPr="001B5A51">
        <w:rPr>
          <w:rFonts w:ascii="Times New Roman" w:hAnsi="Times New Roman"/>
          <w:sz w:val="28"/>
          <w:lang w:val="fr-FR"/>
        </w:rPr>
        <w:t>, le fichier n’est pas déterminée par des règles de droit de l’Union</w:t>
      </w:r>
    </w:p>
    <w:p w:rsidR="008312DE" w:rsidRPr="001B5A51" w:rsidRDefault="008312DE" w:rsidP="003378C9">
      <w:pPr>
        <w:spacing w:before="120"/>
        <w:rPr>
          <w:rFonts w:ascii="Times New Roman" w:hAnsi="Times New Roman"/>
          <w:sz w:val="28"/>
          <w:lang w:val="fr-FR"/>
        </w:rPr>
      </w:pPr>
      <w:r w:rsidRPr="001B5A51">
        <w:rPr>
          <w:rFonts w:ascii="Times New Roman" w:hAnsi="Times New Roman"/>
          <w:sz w:val="28"/>
          <w:lang w:val="fr-FR"/>
        </w:rPr>
        <w:t>- Pourtant le BVerfG conteste la lecture de l’article 51 (1) CFR par la CJUE dans son arrêt Akerberg, il y a donc bien une incertitude sur le sens de l’article 51 ou du moins un désaccord qui aurait du convaincre le BVerfG de poser une question préjudicielle. La 3</w:t>
      </w:r>
      <w:r w:rsidRPr="001B5A51">
        <w:rPr>
          <w:rFonts w:ascii="Times New Roman" w:hAnsi="Times New Roman"/>
          <w:sz w:val="28"/>
          <w:vertAlign w:val="superscript"/>
          <w:lang w:val="fr-FR"/>
        </w:rPr>
        <w:t>ème</w:t>
      </w:r>
      <w:r w:rsidRPr="001B5A51">
        <w:rPr>
          <w:rFonts w:ascii="Times New Roman" w:hAnsi="Times New Roman"/>
          <w:sz w:val="28"/>
          <w:lang w:val="fr-FR"/>
        </w:rPr>
        <w:t xml:space="preserve"> condition de l’arrêt CILFIT n’est pas remplie !!!</w:t>
      </w:r>
    </w:p>
    <w:p w:rsidR="00E96CEE" w:rsidRDefault="00E96CEE" w:rsidP="003378C9">
      <w:pPr>
        <w:spacing w:before="120"/>
        <w:rPr>
          <w:rFonts w:ascii="Times New Roman" w:hAnsi="Times New Roman"/>
          <w:sz w:val="28"/>
          <w:lang w:val="fr-FR"/>
        </w:rPr>
      </w:pPr>
    </w:p>
    <w:p w:rsidR="00E96CEE" w:rsidRDefault="00E96CEE" w:rsidP="003378C9">
      <w:pPr>
        <w:spacing w:before="120"/>
        <w:rPr>
          <w:rFonts w:ascii="Times New Roman" w:hAnsi="Times New Roman"/>
          <w:sz w:val="28"/>
          <w:lang w:val="fr-FR"/>
        </w:rPr>
      </w:pPr>
      <w:r>
        <w:rPr>
          <w:rFonts w:ascii="Times New Roman" w:hAnsi="Times New Roman"/>
          <w:sz w:val="28"/>
          <w:lang w:val="fr-FR"/>
        </w:rPr>
        <w:t>Cp. avec les recommandations :</w:t>
      </w:r>
    </w:p>
    <w:p w:rsidR="00E96CEE" w:rsidRPr="00E96CEE" w:rsidRDefault="00E96CEE" w:rsidP="00E96CEE">
      <w:pPr>
        <w:rPr>
          <w:rFonts w:ascii="Times" w:hAnsi="Times"/>
          <w:sz w:val="22"/>
          <w:szCs w:val="22"/>
          <w:lang w:val="de-DE"/>
        </w:rPr>
      </w:pPr>
      <w:r w:rsidRPr="00E96CEE">
        <w:rPr>
          <w:rFonts w:ascii="Times" w:hAnsi="Times"/>
          <w:sz w:val="22"/>
          <w:szCs w:val="22"/>
          <w:lang w:val="de-DE"/>
        </w:rPr>
        <w:t xml:space="preserve">12. Cependant, une juridiction dont les décisions ne sont pas susceptibles d’un recours juridictionnel de </w:t>
      </w:r>
    </w:p>
    <w:p w:rsidR="00E96CEE" w:rsidRPr="00E96CEE" w:rsidRDefault="00E96CEE" w:rsidP="00E96CEE">
      <w:pPr>
        <w:rPr>
          <w:rFonts w:ascii="Times" w:hAnsi="Times"/>
          <w:sz w:val="22"/>
          <w:szCs w:val="22"/>
          <w:lang w:val="de-DE"/>
        </w:rPr>
      </w:pPr>
      <w:r w:rsidRPr="00E96CEE">
        <w:rPr>
          <w:rFonts w:ascii="Times" w:hAnsi="Times"/>
          <w:sz w:val="22"/>
          <w:szCs w:val="22"/>
          <w:lang w:val="de-DE"/>
        </w:rPr>
        <w:t xml:space="preserve">droit interne est tenue de saisir la Cour d’une telle demande, sauf lorsqu’il existe déjà une jurisprudence en la </w:t>
      </w:r>
    </w:p>
    <w:p w:rsidR="00E96CEE" w:rsidRPr="00E96CEE" w:rsidRDefault="00E96CEE" w:rsidP="00E96CEE">
      <w:pPr>
        <w:rPr>
          <w:rFonts w:ascii="Times" w:hAnsi="Times"/>
          <w:sz w:val="22"/>
          <w:szCs w:val="22"/>
          <w:lang w:val="de-DE"/>
        </w:rPr>
      </w:pPr>
      <w:r w:rsidRPr="00E96CEE">
        <w:rPr>
          <w:rFonts w:ascii="Times" w:hAnsi="Times"/>
          <w:sz w:val="22"/>
          <w:szCs w:val="22"/>
          <w:lang w:val="de-DE"/>
        </w:rPr>
        <w:t xml:space="preserve">matière (et que le cadre éventuellement nouveau ne soulève pas de doute réel quant à la possibilité </w:t>
      </w:r>
    </w:p>
    <w:p w:rsidR="00E96CEE" w:rsidRPr="00E96CEE" w:rsidRDefault="00E96CEE" w:rsidP="00E96CEE">
      <w:pPr>
        <w:rPr>
          <w:rFonts w:ascii="Times" w:hAnsi="Times"/>
          <w:sz w:val="22"/>
          <w:szCs w:val="22"/>
          <w:lang w:val="de-DE"/>
        </w:rPr>
      </w:pPr>
      <w:r w:rsidRPr="00E96CEE">
        <w:rPr>
          <w:rFonts w:ascii="Times" w:hAnsi="Times"/>
          <w:sz w:val="22"/>
          <w:szCs w:val="22"/>
          <w:lang w:val="de-DE"/>
        </w:rPr>
        <w:t xml:space="preserve">d’appliquer en l’espèce cette jurisprudence) ou lorsque la manière correcte d’interpréter la règle de droit </w:t>
      </w:r>
    </w:p>
    <w:p w:rsidR="00E96CEE" w:rsidRPr="00E96CEE" w:rsidRDefault="00E96CEE" w:rsidP="00E96CEE">
      <w:pPr>
        <w:rPr>
          <w:rFonts w:ascii="Times" w:hAnsi="Times"/>
          <w:sz w:val="22"/>
          <w:szCs w:val="22"/>
          <w:lang w:val="de-DE"/>
        </w:rPr>
      </w:pPr>
      <w:r w:rsidRPr="00E96CEE">
        <w:rPr>
          <w:rFonts w:ascii="Times" w:hAnsi="Times"/>
          <w:sz w:val="22"/>
          <w:szCs w:val="22"/>
          <w:lang w:val="de-DE"/>
        </w:rPr>
        <w:t>en cause apparaît de toute évidence.</w:t>
      </w:r>
    </w:p>
    <w:p w:rsidR="009E4EFF" w:rsidRPr="009E4EFF" w:rsidRDefault="009E4EFF" w:rsidP="009E4EFF">
      <w:pPr>
        <w:rPr>
          <w:rFonts w:ascii="Times" w:hAnsi="Times"/>
          <w:sz w:val="22"/>
          <w:szCs w:val="22"/>
          <w:lang w:val="de-DE"/>
        </w:rPr>
      </w:pPr>
      <w:r w:rsidRPr="009E4EFF">
        <w:rPr>
          <w:rFonts w:ascii="Times" w:hAnsi="Times"/>
          <w:sz w:val="22"/>
          <w:szCs w:val="22"/>
          <w:lang w:val="de-DE"/>
        </w:rPr>
        <w:t xml:space="preserve">13. Ainsi, une juridiction nationale peut, notamment lorsqu’elle s’estime suffisamment éclairée par la </w:t>
      </w:r>
    </w:p>
    <w:p w:rsidR="009E4EFF" w:rsidRPr="009E4EFF" w:rsidRDefault="009E4EFF" w:rsidP="009E4EFF">
      <w:pPr>
        <w:rPr>
          <w:rFonts w:ascii="Times" w:hAnsi="Times"/>
          <w:sz w:val="22"/>
          <w:szCs w:val="22"/>
          <w:lang w:val="de-DE"/>
        </w:rPr>
      </w:pPr>
      <w:r w:rsidRPr="009E4EFF">
        <w:rPr>
          <w:rFonts w:ascii="Times" w:hAnsi="Times"/>
          <w:sz w:val="22"/>
          <w:szCs w:val="22"/>
          <w:lang w:val="de-DE"/>
        </w:rPr>
        <w:t xml:space="preserve">jurisprudence de la Cour, décider elle-même de l’interprétation correcte du droit de l’Union et de son </w:t>
      </w:r>
    </w:p>
    <w:p w:rsidR="009E4EFF" w:rsidRPr="009E4EFF" w:rsidRDefault="009E4EFF" w:rsidP="009E4EFF">
      <w:pPr>
        <w:rPr>
          <w:rFonts w:ascii="Times" w:hAnsi="Times"/>
          <w:sz w:val="22"/>
          <w:szCs w:val="22"/>
          <w:lang w:val="de-DE"/>
        </w:rPr>
      </w:pPr>
      <w:r w:rsidRPr="009E4EFF">
        <w:rPr>
          <w:rFonts w:ascii="Times" w:hAnsi="Times"/>
          <w:sz w:val="22"/>
          <w:szCs w:val="22"/>
          <w:lang w:val="de-DE"/>
        </w:rPr>
        <w:t>application à la situation factuelle qu’elle constate. Toutefois, un renvoi préjudiciel peut s’avérer particuliè</w:t>
      </w:r>
    </w:p>
    <w:p w:rsidR="009E4EFF" w:rsidRPr="009E4EFF" w:rsidRDefault="009E4EFF" w:rsidP="009E4EFF">
      <w:pPr>
        <w:rPr>
          <w:rFonts w:ascii="Times" w:hAnsi="Times"/>
          <w:sz w:val="22"/>
          <w:szCs w:val="22"/>
          <w:lang w:val="de-DE"/>
        </w:rPr>
      </w:pPr>
      <w:r w:rsidRPr="009E4EFF">
        <w:rPr>
          <w:rFonts w:ascii="Times" w:hAnsi="Times"/>
          <w:sz w:val="22"/>
          <w:szCs w:val="22"/>
          <w:lang w:val="de-DE"/>
        </w:rPr>
        <w:t xml:space="preserve">rement utile lorsqu’il s’agit d’une question d’interprétation nouvelle présentant un intérêt général pour </w:t>
      </w:r>
    </w:p>
    <w:p w:rsidR="009E4EFF" w:rsidRPr="009E4EFF" w:rsidRDefault="009E4EFF" w:rsidP="009E4EFF">
      <w:pPr>
        <w:rPr>
          <w:rFonts w:ascii="Times" w:hAnsi="Times"/>
          <w:sz w:val="22"/>
          <w:szCs w:val="22"/>
          <w:lang w:val="de-DE"/>
        </w:rPr>
      </w:pPr>
      <w:r w:rsidRPr="009E4EFF">
        <w:rPr>
          <w:rFonts w:ascii="Times" w:hAnsi="Times"/>
          <w:sz w:val="22"/>
          <w:szCs w:val="22"/>
          <w:lang w:val="de-DE"/>
        </w:rPr>
        <w:t xml:space="preserve">l’application uniforme du droit de l’Union, ou lorsque la jurisprudence existante ne paraît pas applicable </w:t>
      </w:r>
    </w:p>
    <w:p w:rsidR="009E4EFF" w:rsidRPr="009E4EFF" w:rsidRDefault="009E4EFF" w:rsidP="009E4EFF">
      <w:pPr>
        <w:rPr>
          <w:rFonts w:ascii="Times" w:hAnsi="Times"/>
          <w:sz w:val="22"/>
          <w:szCs w:val="22"/>
          <w:lang w:val="de-DE"/>
        </w:rPr>
      </w:pPr>
      <w:r w:rsidRPr="009E4EFF">
        <w:rPr>
          <w:rFonts w:ascii="Times" w:hAnsi="Times"/>
          <w:sz w:val="22"/>
          <w:szCs w:val="22"/>
          <w:lang w:val="de-DE"/>
        </w:rPr>
        <w:t>à un cadre factuel inédit.</w:t>
      </w:r>
    </w:p>
    <w:p w:rsidR="00574F17" w:rsidRPr="001B5A51" w:rsidRDefault="00574F17" w:rsidP="003378C9">
      <w:pPr>
        <w:spacing w:before="120"/>
        <w:rPr>
          <w:rFonts w:ascii="Times New Roman" w:hAnsi="Times New Roman"/>
          <w:sz w:val="28"/>
          <w:lang w:val="fr-FR"/>
        </w:rPr>
      </w:pPr>
    </w:p>
    <w:p w:rsidR="009D630D" w:rsidRPr="00EB2C74" w:rsidRDefault="009D630D" w:rsidP="00EB2C74">
      <w:pPr>
        <w:pStyle w:val="Heading4"/>
        <w:rPr>
          <w:lang w:val="fr-FR"/>
        </w:rPr>
      </w:pPr>
      <w:r w:rsidRPr="001B5A51">
        <w:rPr>
          <w:lang w:val="fr-FR"/>
        </w:rPr>
        <w:t xml:space="preserve">3. </w:t>
      </w:r>
      <w:r w:rsidR="00574F17" w:rsidRPr="001B5A51">
        <w:rPr>
          <w:lang w:val="fr-FR"/>
        </w:rPr>
        <w:t xml:space="preserve">Le renvoi comme possibilité </w:t>
      </w:r>
      <w:r w:rsidRPr="001B5A51">
        <w:rPr>
          <w:lang w:val="fr-FR"/>
        </w:rPr>
        <w:t>d’influencer la jurisprudence de la CJUE</w:t>
      </w:r>
    </w:p>
    <w:p w:rsidR="00C672EB" w:rsidRPr="001B5A51" w:rsidRDefault="00C672EB" w:rsidP="003378C9">
      <w:pPr>
        <w:spacing w:before="120"/>
        <w:rPr>
          <w:rFonts w:ascii="Times New Roman" w:hAnsi="Times New Roman"/>
          <w:sz w:val="28"/>
          <w:lang w:val="fr-FR"/>
        </w:rPr>
      </w:pPr>
      <w:r w:rsidRPr="001B5A51">
        <w:rPr>
          <w:rFonts w:ascii="Times New Roman" w:hAnsi="Times New Roman"/>
          <w:sz w:val="28"/>
          <w:lang w:val="fr-FR"/>
        </w:rPr>
        <w:t>Dan l’arrêt Akerberg Fransson la Cour le rappelle explicitement au point 30 : “lorsque les juridictions nationales sont amenées à interpréter les dispositions de la Charte, elles ont la possibilité et, le cas échéant, sont dans l’obligation de saisir la Cour à titre préjudiciel conformément à l’article 267 TFUE”</w:t>
      </w:r>
    </w:p>
    <w:p w:rsidR="00F712A4" w:rsidRPr="001B5A51" w:rsidRDefault="00F712A4" w:rsidP="003378C9">
      <w:pPr>
        <w:spacing w:before="120"/>
        <w:rPr>
          <w:rFonts w:ascii="Times New Roman" w:hAnsi="Times New Roman"/>
          <w:sz w:val="28"/>
          <w:lang w:val="fr-FR"/>
        </w:rPr>
      </w:pPr>
    </w:p>
    <w:p w:rsidR="00574F17" w:rsidRPr="001B5A51" w:rsidRDefault="00034D11" w:rsidP="003378C9">
      <w:pPr>
        <w:spacing w:before="120"/>
        <w:rPr>
          <w:rFonts w:ascii="Times New Roman" w:hAnsi="Times New Roman"/>
          <w:sz w:val="28"/>
          <w:lang w:val="fr-FR"/>
        </w:rPr>
      </w:pPr>
      <w:r w:rsidRPr="001B5A51">
        <w:rPr>
          <w:rFonts w:ascii="Times New Roman" w:hAnsi="Times New Roman"/>
          <w:sz w:val="28"/>
          <w:lang w:val="fr-FR"/>
        </w:rPr>
        <w:t xml:space="preserve">Le renvoi préjudiciel fournit la seule occasion </w:t>
      </w:r>
      <w:r w:rsidR="00574F17" w:rsidRPr="001B5A51">
        <w:rPr>
          <w:rFonts w:ascii="Times New Roman" w:hAnsi="Times New Roman"/>
          <w:sz w:val="28"/>
          <w:lang w:val="fr-FR"/>
        </w:rPr>
        <w:t xml:space="preserve">d’engager un </w:t>
      </w:r>
      <w:r w:rsidR="00F712A4" w:rsidRPr="001B5A51">
        <w:rPr>
          <w:rFonts w:ascii="Times New Roman" w:hAnsi="Times New Roman"/>
          <w:sz w:val="28"/>
          <w:lang w:val="fr-FR"/>
        </w:rPr>
        <w:t>véritable</w:t>
      </w:r>
      <w:r w:rsidR="00574F17" w:rsidRPr="001B5A51">
        <w:rPr>
          <w:rFonts w:ascii="Times New Roman" w:hAnsi="Times New Roman"/>
          <w:sz w:val="28"/>
          <w:lang w:val="fr-FR"/>
        </w:rPr>
        <w:t xml:space="preserve">  dialogue et d’influencer la jurisprudence de la CJUE</w:t>
      </w:r>
      <w:r w:rsidRPr="001B5A51">
        <w:rPr>
          <w:rFonts w:ascii="Times New Roman" w:hAnsi="Times New Roman"/>
          <w:sz w:val="28"/>
          <w:lang w:val="fr-FR"/>
        </w:rPr>
        <w:t>.</w:t>
      </w:r>
      <w:r w:rsidR="00574F17" w:rsidRPr="001B5A51">
        <w:rPr>
          <w:rFonts w:ascii="Times New Roman" w:hAnsi="Times New Roman"/>
          <w:sz w:val="28"/>
          <w:lang w:val="fr-FR"/>
        </w:rPr>
        <w:t xml:space="preserve"> (Lenaerts, cf. Interview W. Weiss, LTO, p. 4)</w:t>
      </w:r>
    </w:p>
    <w:p w:rsidR="00EB2C74" w:rsidRDefault="00EB2C74" w:rsidP="003378C9">
      <w:pPr>
        <w:spacing w:before="120"/>
        <w:rPr>
          <w:rFonts w:ascii="Times New Roman" w:hAnsi="Times New Roman"/>
          <w:sz w:val="28"/>
          <w:lang w:val="fr-FR"/>
        </w:rPr>
      </w:pPr>
    </w:p>
    <w:p w:rsidR="008F5392" w:rsidRDefault="00EB2C74" w:rsidP="003378C9">
      <w:pPr>
        <w:spacing w:before="120"/>
        <w:rPr>
          <w:rFonts w:ascii="Times New Roman" w:hAnsi="Times New Roman"/>
          <w:sz w:val="28"/>
          <w:lang w:val="fr-FR"/>
        </w:rPr>
      </w:pPr>
      <w:r>
        <w:rPr>
          <w:rFonts w:ascii="Times New Roman" w:hAnsi="Times New Roman"/>
          <w:sz w:val="28"/>
          <w:lang w:val="fr-FR"/>
        </w:rPr>
        <w:t>D’autres cours constitutionnelles l’ont compris et ont pris le virage récemment : examples italiens, espagnpls et français (cp. texte Carola Rappe)</w:t>
      </w:r>
    </w:p>
    <w:p w:rsidR="008F5392" w:rsidRPr="00377E39" w:rsidRDefault="008F5392" w:rsidP="008F5392">
      <w:pPr>
        <w:pStyle w:val="ListParagraph"/>
        <w:spacing w:after="120" w:line="288" w:lineRule="auto"/>
        <w:ind w:left="1440"/>
        <w:rPr>
          <w:sz w:val="22"/>
        </w:rPr>
      </w:pPr>
      <w:r w:rsidRPr="00377E39">
        <w:rPr>
          <w:sz w:val="22"/>
        </w:rPr>
        <w:t>Les évaluations récentes : « il y a toujours une première fois »</w:t>
      </w:r>
    </w:p>
    <w:p w:rsidR="008F5392" w:rsidRPr="00377E39" w:rsidRDefault="008F5392" w:rsidP="008F5392">
      <w:pPr>
        <w:pStyle w:val="ListParagraph"/>
        <w:numPr>
          <w:ilvl w:val="2"/>
          <w:numId w:val="5"/>
        </w:numPr>
        <w:spacing w:after="120" w:line="288" w:lineRule="auto"/>
        <w:ind w:left="2268" w:hanging="288"/>
        <w:rPr>
          <w:sz w:val="22"/>
        </w:rPr>
      </w:pPr>
      <w:r w:rsidRPr="00377E39">
        <w:rPr>
          <w:sz w:val="22"/>
        </w:rPr>
        <w:t>2008</w:t>
      </w:r>
      <w:r>
        <w:rPr>
          <w:sz w:val="22"/>
        </w:rPr>
        <w:t xml:space="preserve">, </w:t>
      </w:r>
      <w:r w:rsidRPr="00377E39">
        <w:rPr>
          <w:sz w:val="22"/>
        </w:rPr>
        <w:t>Corte Costituzionale (Italie)</w:t>
      </w:r>
      <w:r>
        <w:rPr>
          <w:sz w:val="22"/>
        </w:rPr>
        <w:t>,</w:t>
      </w:r>
      <w:r w:rsidRPr="00377E39">
        <w:rPr>
          <w:sz w:val="22"/>
        </w:rPr>
        <w:t xml:space="preserve"> </w:t>
      </w:r>
      <w:r>
        <w:rPr>
          <w:sz w:val="22"/>
        </w:rPr>
        <w:br/>
      </w:r>
      <w:r w:rsidRPr="00377E39">
        <w:rPr>
          <w:sz w:val="22"/>
        </w:rPr>
        <w:t>C-169/08, Presidente del Consiglio dei Ministri c/ Regione Sardegna</w:t>
      </w:r>
      <w:r>
        <w:rPr>
          <w:sz w:val="22"/>
        </w:rPr>
        <w:t xml:space="preserve">, </w:t>
      </w:r>
      <w:r>
        <w:rPr>
          <w:sz w:val="22"/>
        </w:rPr>
        <w:br/>
      </w:r>
      <w:r w:rsidRPr="00377E39">
        <w:rPr>
          <w:sz w:val="22"/>
        </w:rPr>
        <w:t>arrêt de la CJUE du 17.11.</w:t>
      </w:r>
      <w:r>
        <w:rPr>
          <w:sz w:val="22"/>
        </w:rPr>
        <w:t>2009</w:t>
      </w:r>
    </w:p>
    <w:p w:rsidR="008F5392" w:rsidRPr="00377E39" w:rsidRDefault="008F5392" w:rsidP="008F5392">
      <w:pPr>
        <w:pStyle w:val="ListParagraph"/>
        <w:numPr>
          <w:ilvl w:val="2"/>
          <w:numId w:val="5"/>
        </w:numPr>
        <w:spacing w:after="120" w:line="288" w:lineRule="auto"/>
        <w:ind w:left="2268" w:hanging="288"/>
        <w:rPr>
          <w:sz w:val="22"/>
        </w:rPr>
      </w:pPr>
      <w:r w:rsidRPr="00377E39">
        <w:rPr>
          <w:sz w:val="22"/>
        </w:rPr>
        <w:t>2011</w:t>
      </w:r>
      <w:r>
        <w:rPr>
          <w:sz w:val="22"/>
        </w:rPr>
        <w:t>,</w:t>
      </w:r>
      <w:r w:rsidRPr="00377E39">
        <w:rPr>
          <w:sz w:val="22"/>
        </w:rPr>
        <w:t xml:space="preserve"> Tri</w:t>
      </w:r>
      <w:r>
        <w:rPr>
          <w:sz w:val="22"/>
        </w:rPr>
        <w:t>bunal Constitucional (Espagne),</w:t>
      </w:r>
      <w:r w:rsidRPr="00377E39">
        <w:rPr>
          <w:sz w:val="22"/>
        </w:rPr>
        <w:t xml:space="preserve"> </w:t>
      </w:r>
      <w:r>
        <w:rPr>
          <w:sz w:val="22"/>
        </w:rPr>
        <w:br/>
      </w:r>
      <w:r w:rsidRPr="00377E39">
        <w:rPr>
          <w:sz w:val="22"/>
        </w:rPr>
        <w:t>C-399/11</w:t>
      </w:r>
      <w:r>
        <w:rPr>
          <w:sz w:val="22"/>
        </w:rPr>
        <w:t xml:space="preserve">, Stefano Melloni c/ Ministerio Fiscal, </w:t>
      </w:r>
      <w:r w:rsidRPr="00377E39">
        <w:rPr>
          <w:sz w:val="22"/>
        </w:rPr>
        <w:t xml:space="preserve">arrêt </w:t>
      </w:r>
      <w:r>
        <w:rPr>
          <w:sz w:val="22"/>
        </w:rPr>
        <w:t>du 26.02.2013</w:t>
      </w:r>
    </w:p>
    <w:p w:rsidR="008F5392" w:rsidRPr="00377E39" w:rsidRDefault="008F5392" w:rsidP="008F5392">
      <w:pPr>
        <w:pStyle w:val="ListParagraph"/>
        <w:numPr>
          <w:ilvl w:val="2"/>
          <w:numId w:val="5"/>
        </w:numPr>
        <w:spacing w:after="120" w:line="288" w:lineRule="auto"/>
        <w:ind w:left="2268" w:hanging="288"/>
        <w:rPr>
          <w:sz w:val="22"/>
        </w:rPr>
      </w:pPr>
      <w:r w:rsidRPr="00377E39">
        <w:rPr>
          <w:sz w:val="22"/>
        </w:rPr>
        <w:t>2013 – Co</w:t>
      </w:r>
      <w:r>
        <w:rPr>
          <w:sz w:val="22"/>
        </w:rPr>
        <w:t>nseil constitutionnel (France),</w:t>
      </w:r>
      <w:r w:rsidRPr="00377E39">
        <w:rPr>
          <w:sz w:val="22"/>
        </w:rPr>
        <w:t xml:space="preserve"> </w:t>
      </w:r>
      <w:r>
        <w:rPr>
          <w:sz w:val="22"/>
        </w:rPr>
        <w:br/>
      </w:r>
      <w:r w:rsidRPr="00377E39">
        <w:rPr>
          <w:sz w:val="22"/>
        </w:rPr>
        <w:t>C-168/13 PPU</w:t>
      </w:r>
      <w:r>
        <w:rPr>
          <w:sz w:val="22"/>
        </w:rPr>
        <w:t xml:space="preserve">, Jeremy F. c/ Premier ministre, </w:t>
      </w:r>
      <w:r w:rsidRPr="00377E39">
        <w:rPr>
          <w:sz w:val="22"/>
        </w:rPr>
        <w:t xml:space="preserve">arrêt </w:t>
      </w:r>
      <w:r>
        <w:rPr>
          <w:sz w:val="22"/>
        </w:rPr>
        <w:t>du 30.05.2013</w:t>
      </w:r>
    </w:p>
    <w:p w:rsidR="008C5F28" w:rsidRDefault="008C5F28" w:rsidP="003378C9">
      <w:pPr>
        <w:spacing w:before="120"/>
        <w:rPr>
          <w:rFonts w:ascii="Times New Roman" w:hAnsi="Times New Roman"/>
          <w:sz w:val="28"/>
          <w:lang w:val="fr-FR"/>
        </w:rPr>
      </w:pPr>
    </w:p>
    <w:p w:rsidR="000D43E8" w:rsidRDefault="008C5F28" w:rsidP="003378C9">
      <w:pPr>
        <w:spacing w:before="120"/>
        <w:rPr>
          <w:rFonts w:ascii="Times New Roman" w:hAnsi="Times New Roman"/>
          <w:sz w:val="28"/>
          <w:lang w:val="fr-FR"/>
        </w:rPr>
      </w:pPr>
      <w:r>
        <w:rPr>
          <w:rFonts w:ascii="Times New Roman" w:hAnsi="Times New Roman"/>
          <w:sz w:val="28"/>
          <w:lang w:val="fr-FR"/>
        </w:rPr>
        <w:t>Le juge de renvoi exerce une influence déterminante à travers la formulation de sa questions et des éléments de droit et de fait qu’il fournit à la Cour de justice.</w:t>
      </w:r>
    </w:p>
    <w:p w:rsidR="00E7511B" w:rsidRDefault="00E7511B" w:rsidP="003378C9">
      <w:pPr>
        <w:spacing w:before="120"/>
        <w:rPr>
          <w:rFonts w:ascii="Times New Roman" w:hAnsi="Times New Roman"/>
          <w:sz w:val="28"/>
          <w:lang w:val="fr-FR"/>
        </w:rPr>
      </w:pPr>
    </w:p>
    <w:p w:rsidR="008D6DE9" w:rsidRDefault="00E7511B" w:rsidP="003378C9">
      <w:pPr>
        <w:spacing w:before="120"/>
        <w:rPr>
          <w:rFonts w:ascii="Times New Roman" w:hAnsi="Times New Roman"/>
          <w:sz w:val="28"/>
          <w:lang w:val="fr-FR"/>
        </w:rPr>
      </w:pPr>
      <w:r>
        <w:rPr>
          <w:rFonts w:ascii="Times New Roman" w:hAnsi="Times New Roman"/>
          <w:sz w:val="28"/>
          <w:lang w:val="fr-FR"/>
        </w:rPr>
        <w:t>La force de questionnement/ force de proposition (Laurent Coutron, 9.12.) cite l’arrêt Pontin (juridiction luxo)</w:t>
      </w:r>
      <w:r w:rsidR="0089525C">
        <w:rPr>
          <w:rFonts w:ascii="Times New Roman" w:hAnsi="Times New Roman"/>
          <w:sz w:val="28"/>
          <w:lang w:val="fr-FR"/>
        </w:rPr>
        <w:t xml:space="preserve"> le juge a quo peut inviter la Cour de justice de</w:t>
      </w:r>
      <w:r w:rsidR="008D6DE9">
        <w:rPr>
          <w:rFonts w:ascii="Times New Roman" w:hAnsi="Times New Roman"/>
          <w:sz w:val="28"/>
          <w:lang w:val="fr-FR"/>
        </w:rPr>
        <w:t xml:space="preserve"> se prononcer en un certain sens </w:t>
      </w:r>
    </w:p>
    <w:p w:rsidR="00034D11" w:rsidRPr="001B5A51" w:rsidRDefault="008D6DE9" w:rsidP="003378C9">
      <w:pPr>
        <w:spacing w:before="120"/>
        <w:rPr>
          <w:rFonts w:ascii="Times New Roman" w:hAnsi="Times New Roman"/>
          <w:sz w:val="28"/>
          <w:lang w:val="fr-FR"/>
        </w:rPr>
      </w:pPr>
      <w:r>
        <w:rPr>
          <w:rFonts w:ascii="Times New Roman" w:hAnsi="Times New Roman"/>
          <w:sz w:val="28"/>
          <w:lang w:val="fr-FR"/>
        </w:rPr>
        <w:t>Il peut Invoquer son identité constitutionnelle (sayn-Wittgenstein) la valeur particulière d’une règle constitutionnelle (Omega)</w:t>
      </w:r>
    </w:p>
    <w:p w:rsidR="00EB2C74" w:rsidRDefault="00EB2C74" w:rsidP="00EB2C74">
      <w:pPr>
        <w:pStyle w:val="Heading4"/>
        <w:rPr>
          <w:lang w:val="fr-FR"/>
        </w:rPr>
      </w:pPr>
      <w:r>
        <w:rPr>
          <w:lang w:val="fr-FR"/>
        </w:rPr>
        <w:t>4. L’affaire en cours portant sur les compétences de la BCE fournit l’occasion de franchir le pas</w:t>
      </w:r>
    </w:p>
    <w:p w:rsidR="005A591E" w:rsidRPr="005A591E" w:rsidRDefault="00EB2C74" w:rsidP="005A591E">
      <w:pPr>
        <w:pStyle w:val="HTMLPreformatted"/>
      </w:pPr>
      <w:r>
        <w:rPr>
          <w:rFonts w:ascii="Times New Roman" w:hAnsi="Times New Roman"/>
          <w:sz w:val="28"/>
          <w:lang w:val="fr-FR"/>
        </w:rPr>
        <w:t>cp. SZ 30.11/1.12., p. 6</w:t>
      </w:r>
      <w:r w:rsidR="005A591E">
        <w:rPr>
          <w:rFonts w:ascii="Times New Roman" w:hAnsi="Times New Roman"/>
          <w:sz w:val="28"/>
          <w:lang w:val="fr-FR"/>
        </w:rPr>
        <w:t xml:space="preserve">, </w:t>
      </w:r>
      <w:r w:rsidR="005A591E" w:rsidRPr="005A591E">
        <w:t xml:space="preserve">2 BvR 1390/12 </w:t>
      </w:r>
    </w:p>
    <w:p w:rsidR="005A591E" w:rsidRPr="005A591E" w:rsidRDefault="005A591E" w:rsidP="005A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val="de-DE"/>
        </w:rPr>
      </w:pPr>
      <w:r w:rsidRPr="005A591E">
        <w:rPr>
          <w:rFonts w:ascii="Courier" w:hAnsi="Courier" w:cs="Courier"/>
          <w:b/>
          <w:szCs w:val="20"/>
          <w:lang w:val="de-DE"/>
        </w:rPr>
        <w:t>Mündliche Verhandlung im Hauptsacheverfahren ESM/EZB</w:t>
      </w:r>
    </w:p>
    <w:p w:rsidR="00B26A4C" w:rsidRDefault="005A591E" w:rsidP="00EB2C74">
      <w:pPr>
        <w:rPr>
          <w:rFonts w:ascii="Times New Roman" w:hAnsi="Times New Roman"/>
          <w:sz w:val="28"/>
          <w:lang w:val="fr-FR"/>
        </w:rPr>
      </w:pPr>
      <w:r>
        <w:rPr>
          <w:rFonts w:ascii="Times New Roman" w:hAnsi="Times New Roman"/>
          <w:sz w:val="28"/>
          <w:lang w:val="fr-FR"/>
        </w:rPr>
        <w:t>11. et 12 juin 2013</w:t>
      </w:r>
    </w:p>
    <w:p w:rsidR="00EB2C74" w:rsidRDefault="00B26A4C" w:rsidP="00EB2C74">
      <w:pPr>
        <w:rPr>
          <w:rFonts w:ascii="Times New Roman" w:hAnsi="Times New Roman"/>
          <w:sz w:val="28"/>
          <w:lang w:val="fr-FR"/>
        </w:rPr>
      </w:pPr>
      <w:r>
        <w:t>Verfassungsbeschwerden und Organstreitverfahren betreffend - unter anderem - die Zustimmungsgesetze zum Europäischen Stabilitätsmechanismus (ESM) und zum Vertrag über Stabilität, Koordinierung und Steuerung in der Wirtschafts- und Währungsunion (Fiskalvertrag), den Beschluss des EZB-Rates vom 6. September 2012 über den Ankauf von Staatsanleihen (OMT-Programm) und das TARGET2-Zahlungssystem des Europäischen Systems der Zentralbanken.</w:t>
      </w:r>
      <w:r>
        <w:br/>
        <w:t>- 2 BvR 1390/12 - (MdB Dr. Peter Gauweiler),</w:t>
      </w:r>
      <w:r>
        <w:br/>
        <w:t>- 2 BvR 1421/12 - (Dr. Bruno Bandulet u.a.),</w:t>
      </w:r>
      <w:r>
        <w:br/>
        <w:t>- 2 BvR 1438/12 - (Roman Huber u.a.),</w:t>
      </w:r>
      <w:r>
        <w:br/>
        <w:t>- 2 BvR 1439/12 - (MdB Jan van Aken u.a.),</w:t>
      </w:r>
      <w:r>
        <w:br/>
        <w:t>- 2 BvR 1440/12 - (Johannes Schorr),</w:t>
      </w:r>
      <w:r>
        <w:br/>
        <w:t>- 2 BvR 1824/12 - (Prof. Dr. Johann Heinrich von Stein u.a.),</w:t>
      </w:r>
      <w:r>
        <w:br/>
        <w:t>- 2 BvE 6/12 - (Fraktion DIE LINKE im Deutschen Bundestag)</w:t>
      </w:r>
    </w:p>
    <w:p w:rsidR="00A67D4E" w:rsidRDefault="008F5392" w:rsidP="00EB2C74">
      <w:pPr>
        <w:rPr>
          <w:rFonts w:ascii="Times New Roman" w:hAnsi="Times New Roman"/>
          <w:sz w:val="28"/>
          <w:lang w:val="fr-FR"/>
        </w:rPr>
      </w:pPr>
      <w:r>
        <w:rPr>
          <w:rFonts w:ascii="Times New Roman" w:hAnsi="Times New Roman"/>
          <w:sz w:val="28"/>
          <w:lang w:val="fr-FR"/>
        </w:rPr>
        <w:t xml:space="preserve">Dans cette affaire la Cour constitutionnelle ne pourrait </w:t>
      </w:r>
      <w:r w:rsidR="00A67D4E">
        <w:rPr>
          <w:rFonts w:ascii="Times New Roman" w:hAnsi="Times New Roman"/>
          <w:sz w:val="28"/>
          <w:lang w:val="fr-FR"/>
        </w:rPr>
        <w:t xml:space="preserve">que très difficilement </w:t>
      </w:r>
      <w:r>
        <w:rPr>
          <w:rFonts w:ascii="Times New Roman" w:hAnsi="Times New Roman"/>
          <w:sz w:val="28"/>
          <w:lang w:val="fr-FR"/>
        </w:rPr>
        <w:t>contourner l’obligation d’un renvoi préjudiciel</w:t>
      </w:r>
    </w:p>
    <w:p w:rsidR="00A67D4E" w:rsidRDefault="00A67D4E" w:rsidP="00EB2C74">
      <w:pPr>
        <w:rPr>
          <w:rFonts w:ascii="Times New Roman" w:hAnsi="Times New Roman"/>
          <w:sz w:val="28"/>
          <w:lang w:val="fr-FR"/>
        </w:rPr>
      </w:pPr>
    </w:p>
    <w:p w:rsidR="00A50608" w:rsidRDefault="00A67D4E" w:rsidP="00EB2C74">
      <w:pPr>
        <w:rPr>
          <w:rFonts w:ascii="Times New Roman" w:hAnsi="Times New Roman"/>
          <w:sz w:val="28"/>
          <w:lang w:val="fr-FR"/>
        </w:rPr>
      </w:pPr>
      <w:r>
        <w:rPr>
          <w:rFonts w:ascii="Times New Roman" w:hAnsi="Times New Roman"/>
          <w:sz w:val="28"/>
          <w:lang w:val="fr-FR"/>
        </w:rPr>
        <w:t>Des discussions au sein du second Senat semble opposer deux groupes (Pro= Vosskuhle, Contra : Peter M. Huber)</w:t>
      </w:r>
    </w:p>
    <w:p w:rsidR="00A50608" w:rsidRDefault="00A50608" w:rsidP="00EB2C74">
      <w:pPr>
        <w:rPr>
          <w:rFonts w:ascii="Times New Roman" w:hAnsi="Times New Roman"/>
          <w:sz w:val="28"/>
          <w:lang w:val="fr-FR"/>
        </w:rPr>
      </w:pPr>
    </w:p>
    <w:p w:rsidR="003F6AB6" w:rsidRDefault="00A50608" w:rsidP="00EB2C74">
      <w:pPr>
        <w:rPr>
          <w:rFonts w:ascii="Times New Roman" w:hAnsi="Times New Roman"/>
          <w:sz w:val="28"/>
          <w:lang w:val="fr-FR"/>
        </w:rPr>
      </w:pPr>
      <w:r>
        <w:rPr>
          <w:rFonts w:ascii="Times New Roman" w:hAnsi="Times New Roman"/>
          <w:sz w:val="28"/>
          <w:lang w:val="fr-FR"/>
        </w:rPr>
        <w:t xml:space="preserve">Il </w:t>
      </w:r>
      <w:r w:rsidR="004B56F7">
        <w:rPr>
          <w:rFonts w:ascii="Times New Roman" w:hAnsi="Times New Roman"/>
          <w:sz w:val="28"/>
          <w:lang w:val="fr-FR"/>
        </w:rPr>
        <w:t xml:space="preserve">est clair qu’il </w:t>
      </w:r>
      <w:r>
        <w:rPr>
          <w:rFonts w:ascii="Times New Roman" w:hAnsi="Times New Roman"/>
          <w:sz w:val="28"/>
          <w:lang w:val="fr-FR"/>
        </w:rPr>
        <w:t>appartient au Bundesverfassungsgericht de s’interroger sur la pertinence et l’obligation de poser une question préjudicielle</w:t>
      </w:r>
      <w:r w:rsidR="003F6AB6">
        <w:rPr>
          <w:rFonts w:ascii="Times New Roman" w:hAnsi="Times New Roman"/>
          <w:sz w:val="28"/>
          <w:lang w:val="fr-FR"/>
        </w:rPr>
        <w:t xml:space="preserve"> : </w:t>
      </w:r>
    </w:p>
    <w:p w:rsidR="003F6AB6" w:rsidRDefault="003F6AB6" w:rsidP="003F6AB6">
      <w:pPr>
        <w:pStyle w:val="ListParagraph"/>
        <w:numPr>
          <w:ilvl w:val="0"/>
          <w:numId w:val="1"/>
        </w:numPr>
        <w:rPr>
          <w:rFonts w:ascii="Times New Roman" w:hAnsi="Times New Roman"/>
          <w:sz w:val="28"/>
          <w:lang w:val="fr-FR"/>
        </w:rPr>
      </w:pPr>
      <w:r>
        <w:rPr>
          <w:rFonts w:ascii="Times New Roman" w:hAnsi="Times New Roman"/>
          <w:sz w:val="28"/>
          <w:lang w:val="fr-FR"/>
        </w:rPr>
        <w:t>pertinence</w:t>
      </w:r>
    </w:p>
    <w:p w:rsidR="003F6AB6" w:rsidRPr="003F6AB6" w:rsidRDefault="003F6AB6" w:rsidP="003F6AB6">
      <w:pPr>
        <w:pStyle w:val="ListParagraph"/>
        <w:numPr>
          <w:ilvl w:val="0"/>
          <w:numId w:val="1"/>
        </w:numPr>
        <w:rPr>
          <w:rFonts w:ascii="Times New Roman" w:hAnsi="Times New Roman"/>
          <w:sz w:val="28"/>
          <w:lang w:val="fr-FR"/>
        </w:rPr>
      </w:pPr>
      <w:r w:rsidRPr="003F6AB6">
        <w:rPr>
          <w:rFonts w:ascii="Times New Roman" w:hAnsi="Times New Roman"/>
          <w:sz w:val="28"/>
          <w:lang w:val="fr-FR"/>
        </w:rPr>
        <w:t>acte raisonnablement clair ?</w:t>
      </w:r>
      <w:r w:rsidR="004B56F7">
        <w:rPr>
          <w:rFonts w:ascii="Times New Roman" w:hAnsi="Times New Roman"/>
          <w:sz w:val="28"/>
          <w:lang w:val="fr-FR"/>
        </w:rPr>
        <w:t xml:space="preserve"> quasi clair (débat du 9.12.)</w:t>
      </w:r>
    </w:p>
    <w:p w:rsidR="003F6AB6" w:rsidRDefault="003F6AB6" w:rsidP="003F6AB6">
      <w:pPr>
        <w:pStyle w:val="ListParagraph"/>
        <w:numPr>
          <w:ilvl w:val="0"/>
          <w:numId w:val="1"/>
        </w:numPr>
        <w:rPr>
          <w:rFonts w:ascii="Times New Roman" w:hAnsi="Times New Roman"/>
          <w:sz w:val="28"/>
          <w:lang w:val="fr-FR"/>
        </w:rPr>
      </w:pPr>
      <w:r>
        <w:rPr>
          <w:rFonts w:ascii="Times New Roman" w:hAnsi="Times New Roman"/>
          <w:sz w:val="28"/>
          <w:lang w:val="fr-FR"/>
        </w:rPr>
        <w:t>délai raisonnable</w:t>
      </w:r>
    </w:p>
    <w:p w:rsidR="00A50608" w:rsidRPr="003F6AB6" w:rsidRDefault="003F6AB6" w:rsidP="003F6AB6">
      <w:pPr>
        <w:pStyle w:val="ListParagraph"/>
        <w:numPr>
          <w:ilvl w:val="0"/>
          <w:numId w:val="1"/>
        </w:numPr>
        <w:rPr>
          <w:rFonts w:ascii="Times New Roman" w:hAnsi="Times New Roman"/>
          <w:sz w:val="28"/>
          <w:lang w:val="fr-FR"/>
        </w:rPr>
      </w:pPr>
      <w:r>
        <w:rPr>
          <w:rFonts w:ascii="Times New Roman" w:hAnsi="Times New Roman"/>
          <w:sz w:val="28"/>
          <w:lang w:val="fr-FR"/>
        </w:rPr>
        <w:t xml:space="preserve">affaire pendante ? (article 267 par. 3) cp. avec le renvoi de la Cour constitutionnelle belge dans l’affaire </w:t>
      </w:r>
    </w:p>
    <w:p w:rsidR="003C24C7" w:rsidRDefault="003C24C7" w:rsidP="00EB2C74">
      <w:pPr>
        <w:rPr>
          <w:rFonts w:ascii="Times New Roman" w:hAnsi="Times New Roman"/>
          <w:sz w:val="28"/>
          <w:lang w:val="fr-FR"/>
        </w:rPr>
      </w:pPr>
    </w:p>
    <w:p w:rsidR="00FF0B34" w:rsidRDefault="003C24C7" w:rsidP="00EB2C74">
      <w:pPr>
        <w:rPr>
          <w:rFonts w:ascii="Times New Roman" w:hAnsi="Times New Roman"/>
          <w:sz w:val="28"/>
          <w:lang w:val="fr-FR"/>
        </w:rPr>
      </w:pPr>
      <w:r>
        <w:rPr>
          <w:rFonts w:ascii="Times New Roman" w:hAnsi="Times New Roman"/>
          <w:sz w:val="28"/>
          <w:lang w:val="fr-FR"/>
        </w:rPr>
        <w:t xml:space="preserve">Sanctions éventuels : la mise en cause de la responsabilité de l’EM pour violation du droit de l’Union (Francovich / Köbler) en cas de abus de CILFIT (mais CILFIT est devenu plus difficile avec 28 EM, le critère a vieilli, </w:t>
      </w:r>
      <w:r w:rsidR="00FF0B34">
        <w:rPr>
          <w:rFonts w:ascii="Times New Roman" w:hAnsi="Times New Roman"/>
          <w:sz w:val="28"/>
          <w:lang w:val="fr-FR"/>
        </w:rPr>
        <w:t>qu’est ce qu’un acte clair (quasi clair) on peut laisser une certaine marge d’appréciation au juge national</w:t>
      </w:r>
    </w:p>
    <w:p w:rsidR="003C24C7" w:rsidRDefault="003C24C7" w:rsidP="00EB2C74">
      <w:pPr>
        <w:rPr>
          <w:rFonts w:ascii="Times New Roman" w:hAnsi="Times New Roman"/>
          <w:sz w:val="28"/>
          <w:lang w:val="fr-FR"/>
        </w:rPr>
      </w:pPr>
    </w:p>
    <w:p w:rsidR="003C24C7" w:rsidRDefault="003C24C7" w:rsidP="00EB2C74">
      <w:pPr>
        <w:rPr>
          <w:rFonts w:ascii="Times New Roman" w:hAnsi="Times New Roman"/>
          <w:sz w:val="28"/>
          <w:lang w:val="fr-FR"/>
        </w:rPr>
      </w:pPr>
      <w:r>
        <w:rPr>
          <w:rFonts w:ascii="Times New Roman" w:hAnsi="Times New Roman"/>
          <w:sz w:val="28"/>
          <w:lang w:val="fr-FR"/>
        </w:rPr>
        <w:t>avec ses faiblesses car le requérant devra démontrer que les 3 conditions sont remplies : une violation d’u</w:t>
      </w:r>
      <w:r w:rsidR="0089525C">
        <w:rPr>
          <w:rFonts w:ascii="Times New Roman" w:hAnsi="Times New Roman"/>
          <w:sz w:val="28"/>
          <w:lang w:val="fr-FR"/>
        </w:rPr>
        <w:t>ne règle substan</w:t>
      </w:r>
      <w:r>
        <w:rPr>
          <w:rFonts w:ascii="Times New Roman" w:hAnsi="Times New Roman"/>
          <w:sz w:val="28"/>
          <w:lang w:val="fr-FR"/>
        </w:rPr>
        <w:t>tielle, un dommage un lien de cause à effet (comme on ne peut savoir si le dommage résulte de la décision de ne pas renvoyer …)</w:t>
      </w:r>
    </w:p>
    <w:p w:rsidR="00A67D4E" w:rsidRDefault="00A67D4E" w:rsidP="00EB2C74">
      <w:pPr>
        <w:rPr>
          <w:rFonts w:ascii="Times New Roman" w:hAnsi="Times New Roman"/>
          <w:sz w:val="28"/>
          <w:lang w:val="fr-FR"/>
        </w:rPr>
      </w:pPr>
    </w:p>
    <w:p w:rsidR="00FF0B34" w:rsidRDefault="003C24C7" w:rsidP="00EB2C74">
      <w:pPr>
        <w:rPr>
          <w:rFonts w:ascii="Times New Roman" w:hAnsi="Times New Roman"/>
          <w:sz w:val="28"/>
          <w:lang w:val="fr-FR"/>
        </w:rPr>
      </w:pPr>
      <w:r>
        <w:rPr>
          <w:rFonts w:ascii="Times New Roman" w:hAnsi="Times New Roman"/>
          <w:sz w:val="28"/>
          <w:lang w:val="fr-FR"/>
        </w:rPr>
        <w:t>Action de la Commission en manquement (opportunité)</w:t>
      </w:r>
      <w:r w:rsidR="00FF0B34">
        <w:rPr>
          <w:rFonts w:ascii="Times New Roman" w:hAnsi="Times New Roman"/>
          <w:sz w:val="28"/>
          <w:lang w:val="fr-FR"/>
        </w:rPr>
        <w:t xml:space="preserve"> cp. commission c. Italie 2004</w:t>
      </w:r>
    </w:p>
    <w:p w:rsidR="003C24C7" w:rsidRDefault="003C24C7" w:rsidP="00EB2C74">
      <w:pPr>
        <w:rPr>
          <w:rFonts w:ascii="Times New Roman" w:hAnsi="Times New Roman"/>
          <w:sz w:val="28"/>
          <w:lang w:val="fr-FR"/>
        </w:rPr>
      </w:pPr>
    </w:p>
    <w:p w:rsidR="003C24C7" w:rsidRDefault="003C24C7" w:rsidP="00EB2C74">
      <w:pPr>
        <w:rPr>
          <w:rFonts w:ascii="Times New Roman" w:hAnsi="Times New Roman"/>
          <w:sz w:val="28"/>
          <w:lang w:val="fr-FR"/>
        </w:rPr>
      </w:pPr>
    </w:p>
    <w:p w:rsidR="00957F9D" w:rsidRDefault="003C24C7" w:rsidP="00EB2C74">
      <w:pPr>
        <w:rPr>
          <w:rFonts w:ascii="Times New Roman" w:hAnsi="Times New Roman"/>
          <w:sz w:val="28"/>
          <w:lang w:val="fr-FR"/>
        </w:rPr>
      </w:pPr>
      <w:r>
        <w:rPr>
          <w:rFonts w:ascii="Times New Roman" w:hAnsi="Times New Roman"/>
          <w:sz w:val="28"/>
          <w:lang w:val="fr-FR"/>
        </w:rPr>
        <w:t>Si le BVerfG ne se résout pas à poser une question, elle sera un jour posé par un autre juge d’un autre EM et la réponse ne plaira pas forcément au BVerfG</w:t>
      </w:r>
    </w:p>
    <w:p w:rsidR="00957F9D" w:rsidRDefault="00957F9D" w:rsidP="00EB2C74">
      <w:pPr>
        <w:rPr>
          <w:rFonts w:ascii="Times New Roman" w:hAnsi="Times New Roman"/>
          <w:sz w:val="28"/>
          <w:lang w:val="fr-FR"/>
        </w:rPr>
      </w:pPr>
    </w:p>
    <w:p w:rsidR="00957F9D" w:rsidRDefault="00957F9D" w:rsidP="00EB2C74">
      <w:pPr>
        <w:rPr>
          <w:rFonts w:ascii="Times New Roman" w:hAnsi="Times New Roman"/>
          <w:sz w:val="28"/>
          <w:lang w:val="fr-FR"/>
        </w:rPr>
      </w:pPr>
    </w:p>
    <w:p w:rsidR="00957F9D" w:rsidRPr="00454615" w:rsidRDefault="00957F9D" w:rsidP="00957F9D">
      <w:pPr>
        <w:spacing w:before="120"/>
        <w:rPr>
          <w:rFonts w:ascii="Times New Roman" w:hAnsi="Times New Roman"/>
          <w:lang w:val="fr-FR"/>
          <w:rPrChange w:id="4" w:author="Jörg GERKRATH" w:date="2014-02-13T13:17:00Z">
            <w:rPr>
              <w:rFonts w:ascii="Times New Roman" w:hAnsi="Times New Roman"/>
              <w:color w:val="0000FF"/>
              <w:lang w:val="fr-FR"/>
            </w:rPr>
          </w:rPrChange>
        </w:rPr>
      </w:pPr>
      <w:r w:rsidRPr="00454615">
        <w:rPr>
          <w:rFonts w:ascii="Times New Roman" w:hAnsi="Times New Roman"/>
          <w:lang w:val="fr-FR"/>
          <w:rPrChange w:id="5" w:author="Jörg GERKRATH" w:date="2014-02-13T13:17:00Z">
            <w:rPr>
              <w:rFonts w:ascii="Times New Roman" w:hAnsi="Times New Roman"/>
              <w:color w:val="0000FF"/>
              <w:lang w:val="fr-FR"/>
            </w:rPr>
          </w:rPrChange>
        </w:rPr>
        <w:t>Le devoir partagé des juges , dialogue des juges</w:t>
      </w:r>
    </w:p>
    <w:p w:rsidR="00957F9D" w:rsidRPr="00454615" w:rsidRDefault="00957F9D" w:rsidP="00957F9D">
      <w:pPr>
        <w:spacing w:before="120"/>
        <w:rPr>
          <w:rFonts w:ascii="Times New Roman" w:hAnsi="Times New Roman"/>
          <w:lang w:val="fr-FR"/>
          <w:rPrChange w:id="6" w:author="Jörg GERKRATH" w:date="2014-02-13T13:17:00Z">
            <w:rPr>
              <w:rFonts w:ascii="Times New Roman" w:hAnsi="Times New Roman"/>
              <w:color w:val="0000FF"/>
              <w:lang w:val="fr-FR"/>
            </w:rPr>
          </w:rPrChange>
        </w:rPr>
      </w:pPr>
      <w:r w:rsidRPr="00454615">
        <w:rPr>
          <w:rFonts w:ascii="Times New Roman" w:hAnsi="Times New Roman"/>
          <w:lang w:val="fr-FR"/>
          <w:rPrChange w:id="7" w:author="Jörg GERKRATH" w:date="2014-02-13T13:17:00Z">
            <w:rPr>
              <w:rFonts w:ascii="Times New Roman" w:hAnsi="Times New Roman"/>
              <w:color w:val="0000FF"/>
              <w:lang w:val="fr-FR"/>
            </w:rPr>
          </w:rPrChange>
        </w:rPr>
        <w:t>Cf. Denys SIMON, Europe janvier 2014, p. 1</w:t>
      </w:r>
    </w:p>
    <w:p w:rsidR="00957F9D" w:rsidRPr="00454615" w:rsidRDefault="00957F9D" w:rsidP="00957F9D">
      <w:pPr>
        <w:rPr>
          <w:rFonts w:ascii="Times New Roman" w:hAnsi="Times New Roman"/>
          <w:lang w:val="en-GB"/>
        </w:rPr>
      </w:pPr>
    </w:p>
    <w:p w:rsidR="00957F9D" w:rsidRPr="00454615" w:rsidRDefault="00957F9D" w:rsidP="00957F9D">
      <w:pPr>
        <w:rPr>
          <w:rFonts w:ascii="Times New Roman" w:hAnsi="Times New Roman"/>
        </w:rPr>
      </w:pPr>
      <w:r w:rsidRPr="00454615">
        <w:rPr>
          <w:rFonts w:ascii="Times New Roman" w:hAnsi="Times New Roman"/>
          <w:lang w:val="en-GB"/>
        </w:rPr>
        <w:t>Between national constitutional courts and the ECJ the existing preliminary ruling procedure under article 267 TFEU offers a precious tool in order to influence the ECJ’s flourishing case law on the substance and scope of the Charter’s rights. Many national constitutional courts have already made ample use of this procedure. Only the German constitutional court followed by its colleagues in the Czech Republic and in Poland seems to remain reluctant. Though it declared already in 1986 to be bound in principle by the preliminary ruling procedure.  “</w:t>
      </w:r>
      <w:r w:rsidRPr="00454615">
        <w:rPr>
          <w:rFonts w:ascii="Times New Roman" w:hAnsi="Times New Roman"/>
        </w:rPr>
        <w:t>Die Nichtvorlagepraxis des BVerfG erscheint immer mehr als deutscher Verfassungssonderweg” Franz Mayer</w:t>
      </w:r>
    </w:p>
    <w:p w:rsidR="00957F9D" w:rsidRPr="00454615" w:rsidRDefault="00957F9D" w:rsidP="00957F9D">
      <w:pPr>
        <w:spacing w:before="120"/>
        <w:rPr>
          <w:rFonts w:ascii="Times New Roman" w:hAnsi="Times New Roman"/>
          <w:lang w:val="fr-FR"/>
          <w:rPrChange w:id="8" w:author="Jörg GERKRATH" w:date="2014-02-13T13:17:00Z">
            <w:rPr>
              <w:rFonts w:ascii="Times New Roman" w:hAnsi="Times New Roman"/>
              <w:color w:val="0000FF"/>
              <w:lang w:val="fr-FR"/>
            </w:rPr>
          </w:rPrChange>
        </w:rPr>
      </w:pPr>
      <w:r w:rsidRPr="00454615">
        <w:rPr>
          <w:rFonts w:ascii="Times New Roman" w:hAnsi="Times New Roman"/>
          <w:lang w:val="en-GB"/>
        </w:rPr>
        <w:t xml:space="preserve"> If it seriously wants to keep some influence on the interpretation of the Charter, it is now up to the German </w:t>
      </w:r>
      <w:r w:rsidRPr="00454615">
        <w:rPr>
          <w:rFonts w:ascii="Times New Roman" w:hAnsi="Times New Roman"/>
          <w:i/>
          <w:lang w:val="en-GB"/>
        </w:rPr>
        <w:t>Bundesverfassungsgericht</w:t>
      </w:r>
      <w:r w:rsidRPr="00454615">
        <w:rPr>
          <w:rFonts w:ascii="Times New Roman" w:hAnsi="Times New Roman"/>
          <w:lang w:val="en-GB"/>
        </w:rPr>
        <w:t xml:space="preserve"> to follow the example given by the </w:t>
      </w:r>
      <w:r w:rsidRPr="00454615">
        <w:rPr>
          <w:rFonts w:ascii="Times New Roman" w:hAnsi="Times New Roman"/>
          <w:highlight w:val="yellow"/>
          <w:lang w:val="en-GB"/>
        </w:rPr>
        <w:t xml:space="preserve">Italian Corte costituzionale, the Spanish ….. (references C. Rappe) and French </w:t>
      </w:r>
      <w:r w:rsidRPr="00454615">
        <w:rPr>
          <w:rFonts w:ascii="Times New Roman" w:hAnsi="Times New Roman"/>
          <w:i/>
          <w:highlight w:val="yellow"/>
          <w:lang w:val="en-GB"/>
        </w:rPr>
        <w:t>Conseil constitutionnel</w:t>
      </w:r>
      <w:r w:rsidRPr="00454615">
        <w:rPr>
          <w:rFonts w:ascii="Times New Roman" w:hAnsi="Times New Roman"/>
          <w:highlight w:val="yellow"/>
          <w:lang w:val="en-GB"/>
        </w:rPr>
        <w:t xml:space="preserve"> that</w:t>
      </w:r>
      <w:r w:rsidRPr="00454615">
        <w:rPr>
          <w:rFonts w:ascii="Times New Roman" w:hAnsi="Times New Roman"/>
          <w:lang w:val="en-GB"/>
        </w:rPr>
        <w:t xml:space="preserve"> recently made its first reference to the ECJ for a preliminary ruling.</w:t>
      </w:r>
      <w:r w:rsidRPr="00454615">
        <w:rPr>
          <w:rStyle w:val="FootnoteReference"/>
          <w:rFonts w:ascii="Times New Roman" w:hAnsi="Times New Roman"/>
          <w:lang w:val="en-GB"/>
        </w:rPr>
        <w:footnoteReference w:id="-1"/>
      </w:r>
    </w:p>
    <w:p w:rsidR="00957F9D" w:rsidRPr="00454615" w:rsidRDefault="00957F9D" w:rsidP="00957F9D">
      <w:pPr>
        <w:spacing w:before="120"/>
        <w:rPr>
          <w:rFonts w:ascii="Times New Roman" w:hAnsi="Times New Roman"/>
          <w:lang w:val="fr-FR"/>
          <w:rPrChange w:id="9" w:author="Jörg GERKRATH" w:date="2014-02-13T13:17:00Z">
            <w:rPr>
              <w:rFonts w:ascii="Times New Roman" w:hAnsi="Times New Roman"/>
              <w:color w:val="0000FF"/>
              <w:lang w:val="fr-FR"/>
            </w:rPr>
          </w:rPrChange>
        </w:rPr>
      </w:pPr>
      <w:r w:rsidRPr="00454615">
        <w:rPr>
          <w:rFonts w:ascii="Times New Roman" w:hAnsi="Times New Roman"/>
          <w:lang w:val="fr-FR"/>
          <w:rPrChange w:id="10" w:author="Jörg GERKRATH" w:date="2014-02-13T13:17:00Z">
            <w:rPr>
              <w:rFonts w:ascii="Times New Roman" w:hAnsi="Times New Roman"/>
              <w:color w:val="0000FF"/>
              <w:lang w:val="fr-FR"/>
            </w:rPr>
          </w:rPrChange>
        </w:rPr>
        <w:t>Pas comme celui suivi dans le dialogue des sourds « Akerberg Fransson / Antiterrordatei »</w:t>
      </w:r>
    </w:p>
    <w:p w:rsidR="00957F9D" w:rsidRPr="00454615" w:rsidRDefault="00957F9D" w:rsidP="00957F9D">
      <w:pPr>
        <w:spacing w:before="120"/>
        <w:rPr>
          <w:rFonts w:ascii="Times New Roman" w:hAnsi="Times New Roman"/>
          <w:lang w:val="fr-FR"/>
          <w:rPrChange w:id="11" w:author="Jörg GERKRATH" w:date="2014-02-13T13:17:00Z">
            <w:rPr>
              <w:rFonts w:ascii="Times New Roman" w:hAnsi="Times New Roman"/>
              <w:color w:val="0000FF"/>
              <w:lang w:val="fr-FR"/>
            </w:rPr>
          </w:rPrChange>
        </w:rPr>
      </w:pPr>
    </w:p>
    <w:p w:rsidR="00957F9D" w:rsidRPr="00454615" w:rsidRDefault="00957F9D" w:rsidP="00957F9D">
      <w:pPr>
        <w:spacing w:before="120"/>
        <w:rPr>
          <w:rFonts w:ascii="Times New Roman" w:hAnsi="Times New Roman"/>
          <w:lang w:val="fr-FR"/>
          <w:rPrChange w:id="12" w:author="Jörg GERKRATH" w:date="2014-02-13T13:17:00Z">
            <w:rPr>
              <w:rFonts w:ascii="Times New Roman" w:hAnsi="Times New Roman"/>
              <w:color w:val="0000FF"/>
              <w:lang w:val="fr-FR"/>
            </w:rPr>
          </w:rPrChange>
        </w:rPr>
      </w:pPr>
      <w:r w:rsidRPr="00454615">
        <w:rPr>
          <w:rFonts w:ascii="Times New Roman" w:hAnsi="Times New Roman"/>
          <w:lang w:val="fr-FR"/>
          <w:rPrChange w:id="13" w:author="Jörg GERKRATH" w:date="2014-02-13T13:17:00Z">
            <w:rPr>
              <w:rFonts w:ascii="Times New Roman" w:hAnsi="Times New Roman"/>
              <w:color w:val="0000FF"/>
              <w:lang w:val="fr-FR"/>
            </w:rPr>
          </w:rPrChange>
        </w:rPr>
        <w:t>La High Court of Ireland et la Verfassungsgerichtshof autrichien ont saisies l’opportunité de poser des questions préjudicielles à la CJUE sur la compatibilité de la directive 2006/24 avec la Charte des droits fondamentaux</w:t>
      </w:r>
    </w:p>
    <w:p w:rsidR="00957F9D" w:rsidRPr="00454615" w:rsidRDefault="00957F9D" w:rsidP="00957F9D">
      <w:pPr>
        <w:spacing w:before="120"/>
        <w:rPr>
          <w:rFonts w:ascii="Times New Roman" w:hAnsi="Times New Roman"/>
          <w:lang w:val="fr-FR"/>
          <w:rPrChange w:id="14" w:author="Jörg GERKRATH" w:date="2014-02-13T13:17:00Z">
            <w:rPr>
              <w:rFonts w:ascii="Times New Roman" w:hAnsi="Times New Roman"/>
              <w:color w:val="0000FF"/>
              <w:lang w:val="fr-FR"/>
            </w:rPr>
          </w:rPrChange>
        </w:rPr>
      </w:pPr>
    </w:p>
    <w:p w:rsidR="00957F9D" w:rsidRPr="00454615" w:rsidRDefault="00957F9D" w:rsidP="00957F9D">
      <w:pPr>
        <w:spacing w:before="120"/>
        <w:rPr>
          <w:rFonts w:ascii="Times New Roman" w:hAnsi="Times New Roman"/>
          <w:lang w:val="fr-FR"/>
          <w:rPrChange w:id="15" w:author="Jörg GERKRATH" w:date="2014-02-13T13:17:00Z">
            <w:rPr>
              <w:rFonts w:ascii="Times New Roman" w:hAnsi="Times New Roman"/>
              <w:color w:val="0000FF"/>
              <w:lang w:val="fr-FR"/>
            </w:rPr>
          </w:rPrChange>
        </w:rPr>
      </w:pPr>
      <w:r w:rsidRPr="00454615">
        <w:rPr>
          <w:rFonts w:ascii="Times New Roman" w:hAnsi="Times New Roman"/>
          <w:lang w:val="fr-FR"/>
          <w:rPrChange w:id="16" w:author="Jörg GERKRATH" w:date="2014-02-13T13:17:00Z">
            <w:rPr>
              <w:rFonts w:ascii="Times New Roman" w:hAnsi="Times New Roman"/>
              <w:color w:val="0000FF"/>
              <w:lang w:val="fr-FR"/>
            </w:rPr>
          </w:rPrChange>
        </w:rPr>
        <w:t>alors que le le premier Sénat du Bundesverfassungsgericht allemand a préféré ne pas faire l’usage du renvoi préjudiciel</w:t>
      </w:r>
    </w:p>
    <w:p w:rsidR="00957F9D" w:rsidRPr="00454615" w:rsidRDefault="00957F9D" w:rsidP="00957F9D">
      <w:pPr>
        <w:pStyle w:val="HTMLPreformatted"/>
        <w:rPr>
          <w:rFonts w:ascii="Times New Roman" w:hAnsi="Times New Roman"/>
          <w:rPrChange w:id="17" w:author="Jörg GERKRATH" w:date="2014-02-13T13:17:00Z">
            <w:rPr>
              <w:rFonts w:ascii="Times New Roman" w:hAnsi="Times New Roman"/>
              <w:color w:val="0000FF"/>
            </w:rPr>
          </w:rPrChange>
        </w:rPr>
      </w:pPr>
      <w:r w:rsidRPr="00454615">
        <w:rPr>
          <w:rFonts w:ascii="Times New Roman" w:hAnsi="Times New Roman"/>
          <w:lang w:val="fr-FR"/>
          <w:rPrChange w:id="18" w:author="Jörg GERKRATH" w:date="2014-02-13T13:17:00Z">
            <w:rPr>
              <w:rFonts w:ascii="Times New Roman" w:hAnsi="Times New Roman"/>
              <w:color w:val="0000FF"/>
              <w:lang w:val="fr-FR"/>
            </w:rPr>
          </w:rPrChange>
        </w:rPr>
        <w:t xml:space="preserve">Décision du 2 mars 2010 : </w:t>
      </w:r>
      <w:r w:rsidRPr="00454615">
        <w:rPr>
          <w:rFonts w:ascii="Times New Roman" w:hAnsi="Times New Roman"/>
          <w:rPrChange w:id="19" w:author="Jörg GERKRATH" w:date="2014-02-13T13:17:00Z">
            <w:rPr>
              <w:rFonts w:ascii="Times New Roman" w:hAnsi="Times New Roman"/>
              <w:color w:val="0000FF"/>
            </w:rPr>
          </w:rPrChange>
        </w:rPr>
        <w:t>1 BvR 256/08, 1 BvR 263/08, 1 BvR 586/08</w:t>
      </w:r>
    </w:p>
    <w:p w:rsidR="00957F9D" w:rsidRPr="00454615" w:rsidRDefault="00957F9D" w:rsidP="00957F9D">
      <w:pPr>
        <w:spacing w:before="120"/>
        <w:rPr>
          <w:rFonts w:ascii="Times New Roman" w:hAnsi="Times New Roman"/>
          <w:lang w:val="fr-FR"/>
          <w:rPrChange w:id="20" w:author="Jörg GERKRATH" w:date="2014-02-13T13:17:00Z">
            <w:rPr>
              <w:rFonts w:ascii="Times New Roman" w:hAnsi="Times New Roman"/>
              <w:color w:val="0000FF"/>
              <w:lang w:val="fr-FR"/>
            </w:rPr>
          </w:rPrChange>
        </w:rPr>
      </w:pPr>
    </w:p>
    <w:p w:rsidR="00957F9D" w:rsidRPr="00454615" w:rsidRDefault="00957F9D" w:rsidP="0095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Courier"/>
          <w:sz w:val="20"/>
          <w:szCs w:val="20"/>
          <w:lang w:val="de-DE"/>
          <w:rPrChange w:id="21" w:author="Jörg GERKRATH" w:date="2014-02-13T13:17:00Z">
            <w:rPr>
              <w:rFonts w:ascii="Times New Roman" w:hAnsi="Times New Roman" w:cs="Courier"/>
              <w:color w:val="0000FF"/>
              <w:sz w:val="20"/>
              <w:szCs w:val="20"/>
              <w:lang w:val="de-DE"/>
            </w:rPr>
          </w:rPrChange>
        </w:rPr>
      </w:pPr>
      <w:r w:rsidRPr="00454615">
        <w:rPr>
          <w:rFonts w:ascii="Times New Roman" w:hAnsi="Times New Roman" w:cs="Courier"/>
          <w:b/>
          <w:sz w:val="20"/>
          <w:szCs w:val="20"/>
          <w:lang w:val="de-DE"/>
          <w:rPrChange w:id="22" w:author="Jörg GERKRATH" w:date="2014-02-13T13:17:00Z">
            <w:rPr>
              <w:rFonts w:ascii="Times New Roman" w:hAnsi="Times New Roman" w:cs="Courier"/>
              <w:b/>
              <w:color w:val="0000FF"/>
              <w:sz w:val="20"/>
              <w:szCs w:val="20"/>
              <w:lang w:val="de-DE"/>
            </w:rPr>
          </w:rPrChange>
        </w:rPr>
        <w:t>1. Kein Vorabentscheidungsverfahren vor dem Europäischen Gerichtshof</w:t>
      </w:r>
      <w:r w:rsidRPr="00454615">
        <w:rPr>
          <w:rFonts w:ascii="Times New Roman" w:hAnsi="Times New Roman" w:cs="Courier"/>
          <w:sz w:val="20"/>
          <w:szCs w:val="20"/>
          <w:lang w:val="de-DE"/>
          <w:rPrChange w:id="23" w:author="Jörg GERKRATH" w:date="2014-02-13T13:17:00Z">
            <w:rPr>
              <w:rFonts w:ascii="Times New Roman" w:hAnsi="Times New Roman" w:cs="Courier"/>
              <w:color w:val="0000FF"/>
              <w:sz w:val="20"/>
              <w:szCs w:val="20"/>
              <w:lang w:val="de-DE"/>
            </w:rPr>
          </w:rPrChange>
        </w:rPr>
        <w:t xml:space="preserve">   Eine Vorlage an den Europäischen Gerichtshof kommt nicht in Betracht, da  es auf einen möglichen Vorrang des Gemeinschaftsrechts nicht ankommt.  Die Wirksamkeit der Richtlinie 2006/24/EG und ein sich hieraus  möglicherweise ergebender Vorrang des Gemeinschaftsrechts vor deutschen  Grundrechten sind nicht entscheidungserheblich. Der Inhalt der  Richtlinie belässt der Bundesrepublik Deutschland einen weiten  Entscheidungsspielraum. Ihre Regelungen sind im Wesentlichen auf die  Speicherungspflicht und deren Umfang beschränkt und regeln nicht den  Zugang zu den Daten oder deren Verwendung durch die Behörden der  Mitgliedstaaten. Mit diesem Inhalt kann die Richtlinie ohne Verstoß  gegen die Grundrechte des Grundgesetzes umgesetzt werden. Das  Grundgesetz verbietet eine solche Speicherung nicht unter allen  Umständen. </w:t>
      </w:r>
    </w:p>
    <w:p w:rsidR="00957F9D" w:rsidRPr="00454615" w:rsidRDefault="00957F9D" w:rsidP="00957F9D">
      <w:pPr>
        <w:spacing w:before="120"/>
        <w:rPr>
          <w:rFonts w:ascii="Times New Roman" w:hAnsi="Times New Roman"/>
          <w:lang w:val="fr-FR"/>
          <w:rPrChange w:id="24" w:author="Jörg GERKRATH" w:date="2014-02-13T13:17:00Z">
            <w:rPr>
              <w:rFonts w:ascii="Times New Roman" w:hAnsi="Times New Roman"/>
              <w:color w:val="0000FF"/>
              <w:lang w:val="fr-FR"/>
            </w:rPr>
          </w:rPrChange>
        </w:rPr>
      </w:pPr>
    </w:p>
    <w:p w:rsidR="00957F9D" w:rsidRPr="00454615" w:rsidRDefault="00957F9D" w:rsidP="00957F9D">
      <w:pPr>
        <w:spacing w:before="120"/>
        <w:rPr>
          <w:rFonts w:ascii="Times New Roman" w:hAnsi="Times New Roman"/>
          <w:lang w:val="fr-FR"/>
          <w:rPrChange w:id="25" w:author="Jörg GERKRATH" w:date="2014-02-13T13:17:00Z">
            <w:rPr>
              <w:rFonts w:ascii="Times New Roman" w:hAnsi="Times New Roman"/>
              <w:lang w:val="fr-FR"/>
            </w:rPr>
          </w:rPrChange>
        </w:rPr>
      </w:pPr>
      <w:r w:rsidRPr="00454615">
        <w:rPr>
          <w:rFonts w:ascii="Times New Roman" w:hAnsi="Times New Roman"/>
          <w:lang w:val="fr-FR"/>
        </w:rPr>
        <w:t>Sa nouvelle position exprimée dans la décision du   sur le mécanisme cf. Janisch SZ</w:t>
      </w:r>
    </w:p>
    <w:p w:rsidR="00574F17" w:rsidRPr="001B5A51" w:rsidRDefault="00574F17" w:rsidP="00EB2C74">
      <w:pPr>
        <w:rPr>
          <w:rFonts w:ascii="Times New Roman" w:hAnsi="Times New Roman"/>
          <w:sz w:val="28"/>
          <w:lang w:val="fr-FR"/>
        </w:rPr>
      </w:pPr>
    </w:p>
    <w:p w:rsidR="00781366" w:rsidRPr="001B5A51" w:rsidRDefault="00781366" w:rsidP="00EB2C74">
      <w:pPr>
        <w:rPr>
          <w:rFonts w:ascii="Times New Roman" w:hAnsi="Times New Roman"/>
          <w:b/>
          <w:bCs/>
          <w:i/>
          <w:iCs/>
          <w:sz w:val="32"/>
          <w:lang w:val="fr-FR"/>
        </w:rPr>
      </w:pPr>
      <w:r w:rsidRPr="001B5A51">
        <w:rPr>
          <w:rFonts w:ascii="Times New Roman" w:hAnsi="Times New Roman"/>
          <w:sz w:val="32"/>
          <w:lang w:val="fr-FR"/>
        </w:rPr>
        <w:br w:type="page"/>
      </w:r>
    </w:p>
    <w:p w:rsidR="00574F17" w:rsidRPr="001B5A51" w:rsidRDefault="00574F17" w:rsidP="003378C9">
      <w:pPr>
        <w:pStyle w:val="Heading2"/>
        <w:spacing w:before="120"/>
        <w:rPr>
          <w:rFonts w:ascii="Times New Roman" w:hAnsi="Times New Roman" w:cs="Times New Roman"/>
          <w:sz w:val="32"/>
          <w:szCs w:val="24"/>
          <w:lang w:val="fr-FR"/>
        </w:rPr>
      </w:pPr>
      <w:r w:rsidRPr="001B5A51">
        <w:rPr>
          <w:rFonts w:ascii="Times New Roman" w:hAnsi="Times New Roman" w:cs="Times New Roman"/>
          <w:sz w:val="32"/>
          <w:szCs w:val="24"/>
          <w:lang w:val="fr-FR"/>
        </w:rPr>
        <w:t>Conclusion</w:t>
      </w:r>
    </w:p>
    <w:p w:rsidR="00781366" w:rsidRPr="001B5A51" w:rsidRDefault="00781366" w:rsidP="003378C9">
      <w:pPr>
        <w:spacing w:before="120"/>
        <w:rPr>
          <w:rFonts w:ascii="Times New Roman" w:hAnsi="Times New Roman"/>
          <w:sz w:val="28"/>
          <w:lang w:val="fr-FR"/>
        </w:rPr>
      </w:pPr>
    </w:p>
    <w:p w:rsidR="0031072C" w:rsidRPr="001B5A51" w:rsidRDefault="00781366" w:rsidP="003378C9">
      <w:pPr>
        <w:spacing w:before="120"/>
        <w:rPr>
          <w:rFonts w:ascii="Times New Roman" w:hAnsi="Times New Roman"/>
          <w:sz w:val="28"/>
          <w:lang w:val="fr-FR"/>
        </w:rPr>
      </w:pPr>
      <w:r w:rsidRPr="001B5A51">
        <w:rPr>
          <w:rFonts w:ascii="Times New Roman" w:hAnsi="Times New Roman"/>
          <w:sz w:val="28"/>
          <w:lang w:val="fr-FR"/>
        </w:rPr>
        <w:t xml:space="preserve">Renvoi préjudiciel = </w:t>
      </w:r>
      <w:r w:rsidR="00AB1616" w:rsidRPr="001B5A51">
        <w:rPr>
          <w:rFonts w:ascii="Times New Roman" w:hAnsi="Times New Roman"/>
          <w:sz w:val="28"/>
          <w:lang w:val="fr-FR"/>
        </w:rPr>
        <w:t>Un dialogue verticale ?</w:t>
      </w:r>
    </w:p>
    <w:p w:rsidR="009D630D" w:rsidRPr="001B5A51" w:rsidRDefault="009E7EB5" w:rsidP="003378C9">
      <w:pPr>
        <w:spacing w:before="120"/>
        <w:rPr>
          <w:rFonts w:ascii="Times New Roman" w:hAnsi="Times New Roman"/>
          <w:sz w:val="28"/>
          <w:lang w:val="fr-FR"/>
        </w:rPr>
      </w:pPr>
      <w:r w:rsidRPr="001B5A51">
        <w:rPr>
          <w:rFonts w:ascii="Times New Roman" w:hAnsi="Times New Roman"/>
          <w:sz w:val="28"/>
          <w:lang w:val="fr-FR"/>
        </w:rPr>
        <w:t>Leur dialogue doit s’insérer dans le fonctionnement du Europäische Verfassungsgerichtsverbund</w:t>
      </w:r>
      <w:r w:rsidR="009D630D" w:rsidRPr="001B5A51">
        <w:rPr>
          <w:rFonts w:ascii="Times New Roman" w:hAnsi="Times New Roman"/>
          <w:sz w:val="28"/>
          <w:lang w:val="fr-FR"/>
        </w:rPr>
        <w:t xml:space="preserve"> et en respecter les contraintes spécifiques</w:t>
      </w:r>
    </w:p>
    <w:p w:rsidR="009D630D" w:rsidRPr="001B5A51" w:rsidRDefault="009D630D" w:rsidP="003378C9">
      <w:pPr>
        <w:spacing w:before="120"/>
        <w:rPr>
          <w:rFonts w:ascii="Times New Roman" w:hAnsi="Times New Roman"/>
          <w:sz w:val="28"/>
          <w:lang w:val="fr-FR"/>
        </w:rPr>
      </w:pPr>
    </w:p>
    <w:p w:rsidR="009D630D" w:rsidRPr="001B5A51" w:rsidRDefault="009D630D" w:rsidP="003378C9">
      <w:pPr>
        <w:spacing w:before="120"/>
        <w:rPr>
          <w:rFonts w:ascii="Times New Roman" w:hAnsi="Times New Roman"/>
          <w:sz w:val="28"/>
          <w:lang w:val="fr-FR"/>
        </w:rPr>
      </w:pPr>
      <w:r w:rsidRPr="001B5A51">
        <w:rPr>
          <w:rFonts w:ascii="Times New Roman" w:hAnsi="Times New Roman"/>
          <w:sz w:val="28"/>
          <w:lang w:val="fr-FR"/>
        </w:rPr>
        <w:t>Les deux Cours doivent se partager les rôles. Kooperationsverhältnis. Confiance mutuelle….</w:t>
      </w:r>
    </w:p>
    <w:p w:rsidR="009D630D" w:rsidRPr="001B5A51" w:rsidRDefault="009D630D" w:rsidP="003378C9">
      <w:pPr>
        <w:spacing w:before="120"/>
        <w:rPr>
          <w:rFonts w:ascii="Times New Roman" w:hAnsi="Times New Roman"/>
          <w:sz w:val="28"/>
          <w:lang w:val="fr-FR"/>
        </w:rPr>
      </w:pPr>
    </w:p>
    <w:p w:rsidR="009D630D" w:rsidRPr="001B5A51" w:rsidRDefault="009D630D" w:rsidP="003378C9">
      <w:pPr>
        <w:spacing w:before="120"/>
        <w:rPr>
          <w:rFonts w:ascii="Times New Roman" w:hAnsi="Times New Roman"/>
          <w:sz w:val="28"/>
          <w:lang w:val="fr-FR"/>
        </w:rPr>
      </w:pPr>
      <w:r w:rsidRPr="001B5A51">
        <w:rPr>
          <w:rFonts w:ascii="Times New Roman" w:hAnsi="Times New Roman"/>
          <w:sz w:val="28"/>
          <w:lang w:val="fr-FR"/>
        </w:rPr>
        <w:t xml:space="preserve">Ils ne sont pas seuls dans ce Verbund </w:t>
      </w:r>
    </w:p>
    <w:p w:rsidR="00781366" w:rsidRPr="001B5A51" w:rsidRDefault="009D630D" w:rsidP="003378C9">
      <w:pPr>
        <w:pStyle w:val="ListParagraph"/>
        <w:numPr>
          <w:ilvl w:val="0"/>
          <w:numId w:val="1"/>
        </w:numPr>
        <w:spacing w:before="120"/>
        <w:rPr>
          <w:rFonts w:ascii="Times New Roman" w:hAnsi="Times New Roman"/>
          <w:sz w:val="28"/>
          <w:lang w:val="fr-FR"/>
        </w:rPr>
      </w:pPr>
      <w:r w:rsidRPr="001B5A51">
        <w:rPr>
          <w:rFonts w:ascii="Times New Roman" w:hAnsi="Times New Roman"/>
          <w:sz w:val="28"/>
          <w:lang w:val="fr-FR"/>
        </w:rPr>
        <w:t>Cour edh peut le jour venu trancher une opposition</w:t>
      </w:r>
    </w:p>
    <w:p w:rsidR="009D630D" w:rsidRPr="001B5A51" w:rsidRDefault="009D630D" w:rsidP="00781366">
      <w:pPr>
        <w:pStyle w:val="ListParagraph"/>
        <w:spacing w:before="120"/>
        <w:rPr>
          <w:rFonts w:ascii="Times New Roman" w:hAnsi="Times New Roman"/>
          <w:sz w:val="28"/>
          <w:lang w:val="fr-FR"/>
        </w:rPr>
      </w:pPr>
    </w:p>
    <w:p w:rsidR="00781366" w:rsidRPr="001B5A51" w:rsidRDefault="009D630D" w:rsidP="003378C9">
      <w:pPr>
        <w:pStyle w:val="ListParagraph"/>
        <w:numPr>
          <w:ilvl w:val="0"/>
          <w:numId w:val="1"/>
        </w:numPr>
        <w:spacing w:before="120"/>
        <w:rPr>
          <w:rFonts w:ascii="Times New Roman" w:hAnsi="Times New Roman"/>
          <w:sz w:val="28"/>
          <w:lang w:val="fr-FR"/>
        </w:rPr>
      </w:pPr>
      <w:r w:rsidRPr="001B5A51">
        <w:rPr>
          <w:rFonts w:ascii="Times New Roman" w:hAnsi="Times New Roman"/>
          <w:sz w:val="28"/>
          <w:lang w:val="fr-FR"/>
        </w:rPr>
        <w:t>Les autres cours constitutionnelles suivent attentivement la jurisprudence de Karlsruhe (Vorbildfunktion)</w:t>
      </w:r>
    </w:p>
    <w:p w:rsidR="009D630D" w:rsidRPr="001B5A51" w:rsidRDefault="009D630D" w:rsidP="00781366">
      <w:pPr>
        <w:spacing w:before="120"/>
        <w:rPr>
          <w:rFonts w:ascii="Times New Roman" w:hAnsi="Times New Roman"/>
          <w:sz w:val="28"/>
          <w:lang w:val="fr-FR"/>
        </w:rPr>
      </w:pPr>
    </w:p>
    <w:p w:rsidR="00781366" w:rsidRPr="001B5A51" w:rsidRDefault="009D630D" w:rsidP="003378C9">
      <w:pPr>
        <w:pStyle w:val="ListParagraph"/>
        <w:numPr>
          <w:ilvl w:val="0"/>
          <w:numId w:val="1"/>
        </w:numPr>
        <w:spacing w:before="120"/>
        <w:rPr>
          <w:rFonts w:ascii="Times New Roman" w:hAnsi="Times New Roman"/>
          <w:sz w:val="28"/>
          <w:lang w:val="fr-FR"/>
        </w:rPr>
      </w:pPr>
      <w:r w:rsidRPr="001B5A51">
        <w:rPr>
          <w:rFonts w:ascii="Times New Roman" w:hAnsi="Times New Roman"/>
          <w:sz w:val="28"/>
          <w:lang w:val="fr-FR"/>
        </w:rPr>
        <w:t xml:space="preserve">Ils doivent aussi écouter les autres </w:t>
      </w:r>
      <w:r w:rsidR="00781366" w:rsidRPr="001B5A51">
        <w:rPr>
          <w:rFonts w:ascii="Times New Roman" w:hAnsi="Times New Roman"/>
          <w:sz w:val="28"/>
          <w:lang w:val="fr-FR"/>
        </w:rPr>
        <w:br/>
      </w:r>
      <w:r w:rsidRPr="001B5A51">
        <w:rPr>
          <w:rFonts w:ascii="Times New Roman" w:hAnsi="Times New Roman"/>
          <w:sz w:val="28"/>
          <w:lang w:val="fr-FR"/>
        </w:rPr>
        <w:t xml:space="preserve">ex. </w:t>
      </w:r>
      <w:r w:rsidRPr="001B5A51">
        <w:rPr>
          <w:rFonts w:ascii="Times New Roman" w:hAnsi="Times New Roman"/>
          <w:b/>
          <w:sz w:val="28"/>
          <w:lang w:val="fr-FR"/>
        </w:rPr>
        <w:t>autrichien</w:t>
      </w:r>
      <w:r w:rsidR="00AB1616" w:rsidRPr="001B5A51">
        <w:rPr>
          <w:rFonts w:ascii="Times New Roman" w:hAnsi="Times New Roman"/>
          <w:sz w:val="28"/>
          <w:lang w:val="fr-FR"/>
        </w:rPr>
        <w:t xml:space="preserve"> qui a reconnu en 2012 la valeur constitutionnelle de la Charte</w:t>
      </w:r>
      <w:r w:rsidRPr="001B5A51">
        <w:rPr>
          <w:rFonts w:ascii="Times New Roman" w:hAnsi="Times New Roman"/>
          <w:sz w:val="28"/>
          <w:lang w:val="fr-FR"/>
        </w:rPr>
        <w:t xml:space="preserve">, </w:t>
      </w:r>
      <w:r w:rsidRPr="001B5A51">
        <w:rPr>
          <w:rFonts w:ascii="Times New Roman" w:hAnsi="Times New Roman"/>
          <w:b/>
          <w:sz w:val="28"/>
          <w:lang w:val="fr-FR"/>
        </w:rPr>
        <w:t>belge</w:t>
      </w:r>
      <w:r w:rsidRPr="001B5A51">
        <w:rPr>
          <w:rFonts w:ascii="Times New Roman" w:hAnsi="Times New Roman"/>
          <w:sz w:val="28"/>
          <w:lang w:val="fr-FR"/>
        </w:rPr>
        <w:t xml:space="preserve">, </w:t>
      </w:r>
      <w:r w:rsidR="00AB1616" w:rsidRPr="001B5A51">
        <w:rPr>
          <w:rFonts w:ascii="Times New Roman" w:hAnsi="Times New Roman"/>
          <w:sz w:val="28"/>
          <w:lang w:val="fr-FR"/>
        </w:rPr>
        <w:t xml:space="preserve">qui en présence de droits constitutionnels et conventionnels (y compris de la Charte) analogues les traite comme « un ensemble indissociable », et </w:t>
      </w:r>
      <w:r w:rsidRPr="001B5A51">
        <w:rPr>
          <w:rFonts w:ascii="Times New Roman" w:hAnsi="Times New Roman"/>
          <w:b/>
          <w:sz w:val="28"/>
          <w:lang w:val="fr-FR"/>
        </w:rPr>
        <w:t>espagnol</w:t>
      </w:r>
      <w:r w:rsidR="00AB1616" w:rsidRPr="001B5A51">
        <w:rPr>
          <w:rFonts w:ascii="Times New Roman" w:hAnsi="Times New Roman"/>
          <w:sz w:val="28"/>
          <w:lang w:val="fr-FR"/>
        </w:rPr>
        <w:t xml:space="preserve"> qui en vertu de la Constitution et d’une loi organique adopté lors de la ratification du traité de Lisbonne doit interpréter les </w:t>
      </w:r>
      <w:r w:rsidR="00735908" w:rsidRPr="001B5A51">
        <w:rPr>
          <w:rFonts w:ascii="Times New Roman" w:hAnsi="Times New Roman"/>
          <w:sz w:val="28"/>
          <w:lang w:val="fr-FR"/>
        </w:rPr>
        <w:t>droits</w:t>
      </w:r>
      <w:r w:rsidR="00AB1616" w:rsidRPr="001B5A51">
        <w:rPr>
          <w:rFonts w:ascii="Times New Roman" w:hAnsi="Times New Roman"/>
          <w:sz w:val="28"/>
          <w:lang w:val="fr-FR"/>
        </w:rPr>
        <w:t xml:space="preserve"> fondamentaux contenus dans la Constitution à la lumière de la Charte !</w:t>
      </w:r>
    </w:p>
    <w:p w:rsidR="00781366" w:rsidRPr="001B5A51" w:rsidRDefault="00781366" w:rsidP="00781366">
      <w:pPr>
        <w:spacing w:before="120"/>
        <w:rPr>
          <w:rFonts w:ascii="Times New Roman" w:hAnsi="Times New Roman"/>
          <w:sz w:val="28"/>
          <w:lang w:val="fr-FR"/>
        </w:rPr>
      </w:pPr>
    </w:p>
    <w:p w:rsidR="00574F17" w:rsidRPr="001B5A51" w:rsidRDefault="00781366" w:rsidP="00781366">
      <w:pPr>
        <w:spacing w:before="120"/>
        <w:rPr>
          <w:rFonts w:ascii="Times New Roman" w:hAnsi="Times New Roman"/>
          <w:sz w:val="28"/>
          <w:lang w:val="fr-FR"/>
        </w:rPr>
      </w:pPr>
      <w:r w:rsidRPr="001B5A51">
        <w:rPr>
          <w:rFonts w:ascii="Times New Roman" w:hAnsi="Times New Roman"/>
          <w:sz w:val="28"/>
          <w:lang w:val="fr-FR"/>
        </w:rPr>
        <w:t>La voie à suivre c’est plutôt celle de considérer les deux instruments comme complémentaire et à les appliquer ensemble au lieu de les opposer.</w:t>
      </w:r>
    </w:p>
    <w:sectPr w:rsidR="00574F17" w:rsidRPr="001B5A51" w:rsidSect="00941FCC">
      <w:footerReference w:type="even" r:id="rId6"/>
      <w:footerReference w:type="default" r:id="rId7"/>
      <w:pgSz w:w="11906" w:h="16838"/>
      <w:pgMar w:top="1418" w:right="1134" w:bottom="1418" w:left="2268" w:header="709" w:footer="851" w:gutter="0"/>
      <w:cols w:space="708"/>
      <w:printerSettings r:id="rId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00000000000"/>
    <w:charset w:val="00"/>
    <w:family w:val="auto"/>
    <w:pitch w:val="variable"/>
    <w:sig w:usb0="00000000" w:usb1="5000A1FF" w:usb2="00000000" w:usb3="00000000" w:csb0="000001B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6F7" w:rsidRDefault="00F66362" w:rsidP="009D630D">
    <w:pPr>
      <w:pStyle w:val="Footer"/>
      <w:framePr w:wrap="around" w:vAnchor="text" w:hAnchor="margin" w:xAlign="right" w:y="1"/>
      <w:rPr>
        <w:rStyle w:val="PageNumber"/>
      </w:rPr>
    </w:pPr>
    <w:r>
      <w:rPr>
        <w:rStyle w:val="PageNumber"/>
      </w:rPr>
      <w:fldChar w:fldCharType="begin"/>
    </w:r>
    <w:r w:rsidR="004B56F7">
      <w:rPr>
        <w:rStyle w:val="PageNumber"/>
      </w:rPr>
      <w:instrText xml:space="preserve">PAGE  </w:instrText>
    </w:r>
    <w:r>
      <w:rPr>
        <w:rStyle w:val="PageNumber"/>
      </w:rPr>
      <w:fldChar w:fldCharType="end"/>
    </w:r>
  </w:p>
  <w:p w:rsidR="004B56F7" w:rsidRDefault="004B56F7" w:rsidP="009D630D">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6F7" w:rsidRDefault="00F66362" w:rsidP="009D630D">
    <w:pPr>
      <w:pStyle w:val="Footer"/>
      <w:framePr w:wrap="around" w:vAnchor="text" w:hAnchor="margin" w:xAlign="right" w:y="1"/>
      <w:rPr>
        <w:rStyle w:val="PageNumber"/>
      </w:rPr>
    </w:pPr>
    <w:r>
      <w:rPr>
        <w:rStyle w:val="PageNumber"/>
      </w:rPr>
      <w:fldChar w:fldCharType="begin"/>
    </w:r>
    <w:r w:rsidR="004B56F7">
      <w:rPr>
        <w:rStyle w:val="PageNumber"/>
      </w:rPr>
      <w:instrText xml:space="preserve">PAGE  </w:instrText>
    </w:r>
    <w:r>
      <w:rPr>
        <w:rStyle w:val="PageNumber"/>
      </w:rPr>
      <w:fldChar w:fldCharType="separate"/>
    </w:r>
    <w:r w:rsidR="00957F9D">
      <w:rPr>
        <w:rStyle w:val="PageNumber"/>
        <w:noProof/>
      </w:rPr>
      <w:t>19</w:t>
    </w:r>
    <w:r>
      <w:rPr>
        <w:rStyle w:val="PageNumber"/>
      </w:rPr>
      <w:fldChar w:fldCharType="end"/>
    </w:r>
  </w:p>
  <w:p w:rsidR="004B56F7" w:rsidRDefault="004B56F7" w:rsidP="009D630D">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957F9D" w:rsidRPr="00537FFA" w:rsidRDefault="00957F9D" w:rsidP="00957F9D">
      <w:pPr>
        <w:pStyle w:val="FootnoteText"/>
      </w:pPr>
      <w:r w:rsidRPr="00537FFA">
        <w:rPr>
          <w:rStyle w:val="FootnoteReference"/>
        </w:rPr>
        <w:footnoteRef/>
      </w:r>
      <w:r w:rsidRPr="00537FFA">
        <w:t xml:space="preserve"> See Denys SIMON, « Il y a toujours une première fois ». A propos de la décision 2013-314 QPC du Conseil constitutionnel du 4 avril 2013, Europe, Mai 2013, p. 6.</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4111F"/>
    <w:multiLevelType w:val="hybridMultilevel"/>
    <w:tmpl w:val="5A3E68D6"/>
    <w:lvl w:ilvl="0" w:tplc="313A0626">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3F3E57"/>
    <w:multiLevelType w:val="hybridMultilevel"/>
    <w:tmpl w:val="2A7C5A70"/>
    <w:lvl w:ilvl="0" w:tplc="12E41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23DD9"/>
    <w:multiLevelType w:val="hybridMultilevel"/>
    <w:tmpl w:val="24F29FDC"/>
    <w:lvl w:ilvl="0" w:tplc="4052188C">
      <w:start w:val="1"/>
      <w:numFmt w:val="upperRoman"/>
      <w:lvlText w:val="%1."/>
      <w:lvlJc w:val="left"/>
      <w:pPr>
        <w:tabs>
          <w:tab w:val="num" w:pos="1440"/>
        </w:tabs>
        <w:ind w:left="1440" w:hanging="720"/>
      </w:pPr>
      <w:rPr>
        <w:rFonts w:ascii="Times New Roman" w:eastAsia="Times New Roman" w:hAnsi="Times New Roman" w:cs="Times New Roman"/>
      </w:rPr>
    </w:lvl>
    <w:lvl w:ilvl="1" w:tplc="1D26BB1E">
      <w:start w:val="1"/>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AC61F02"/>
    <w:multiLevelType w:val="hybridMultilevel"/>
    <w:tmpl w:val="C8A03496"/>
    <w:lvl w:ilvl="0" w:tplc="12E41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925E05"/>
    <w:multiLevelType w:val="hybridMultilevel"/>
    <w:tmpl w:val="BE5ED40E"/>
    <w:lvl w:ilvl="0" w:tplc="9538ECCA">
      <w:start w:val="1"/>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5413F1"/>
    <w:multiLevelType w:val="hybridMultilevel"/>
    <w:tmpl w:val="02C0EE10"/>
    <w:lvl w:ilvl="0" w:tplc="140C0015">
      <w:start w:val="1"/>
      <w:numFmt w:val="upperLetter"/>
      <w:lvlText w:val="%1."/>
      <w:lvlJc w:val="left"/>
      <w:pPr>
        <w:ind w:left="720" w:hanging="360"/>
      </w:pPr>
      <w:rPr>
        <w:rFonts w:hint="default"/>
      </w:rPr>
    </w:lvl>
    <w:lvl w:ilvl="1" w:tplc="140C000F">
      <w:start w:val="1"/>
      <w:numFmt w:val="decimal"/>
      <w:lvlText w:val="%2."/>
      <w:lvlJc w:val="left"/>
      <w:pPr>
        <w:ind w:left="1440" w:hanging="360"/>
      </w:pPr>
    </w:lvl>
    <w:lvl w:ilvl="2" w:tplc="140C0019">
      <w:start w:val="1"/>
      <w:numFmt w:val="lowerLetter"/>
      <w:lvlText w:val="%3."/>
      <w:lvlJc w:val="lef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compat/>
  <w:rsids>
    <w:rsidRoot w:val="001D01C1"/>
    <w:rsid w:val="00001B3E"/>
    <w:rsid w:val="000316F1"/>
    <w:rsid w:val="00034D11"/>
    <w:rsid w:val="00055E11"/>
    <w:rsid w:val="00057F92"/>
    <w:rsid w:val="0007357F"/>
    <w:rsid w:val="00094904"/>
    <w:rsid w:val="000A2F71"/>
    <w:rsid w:val="000C3D9E"/>
    <w:rsid w:val="000D2B1B"/>
    <w:rsid w:val="000D43E8"/>
    <w:rsid w:val="00116B28"/>
    <w:rsid w:val="00135520"/>
    <w:rsid w:val="001445EC"/>
    <w:rsid w:val="00174060"/>
    <w:rsid w:val="001857A6"/>
    <w:rsid w:val="001A0427"/>
    <w:rsid w:val="001A068F"/>
    <w:rsid w:val="001B5A51"/>
    <w:rsid w:val="001C2AAD"/>
    <w:rsid w:val="001C5E0A"/>
    <w:rsid w:val="001D01C1"/>
    <w:rsid w:val="001E14E9"/>
    <w:rsid w:val="002011FA"/>
    <w:rsid w:val="0023105B"/>
    <w:rsid w:val="00244302"/>
    <w:rsid w:val="002678D8"/>
    <w:rsid w:val="00281340"/>
    <w:rsid w:val="00284CBE"/>
    <w:rsid w:val="00290B79"/>
    <w:rsid w:val="002A2324"/>
    <w:rsid w:val="002A5436"/>
    <w:rsid w:val="002B18EA"/>
    <w:rsid w:val="002B69E2"/>
    <w:rsid w:val="002C138E"/>
    <w:rsid w:val="002C4ACE"/>
    <w:rsid w:val="002D155D"/>
    <w:rsid w:val="002E39C0"/>
    <w:rsid w:val="002F0375"/>
    <w:rsid w:val="0031072C"/>
    <w:rsid w:val="00313024"/>
    <w:rsid w:val="00330436"/>
    <w:rsid w:val="003378C9"/>
    <w:rsid w:val="00386009"/>
    <w:rsid w:val="00392C3D"/>
    <w:rsid w:val="003A1095"/>
    <w:rsid w:val="003A3571"/>
    <w:rsid w:val="003C24C7"/>
    <w:rsid w:val="003D0342"/>
    <w:rsid w:val="003D26AE"/>
    <w:rsid w:val="003F6AB6"/>
    <w:rsid w:val="003F7FE7"/>
    <w:rsid w:val="00430405"/>
    <w:rsid w:val="004404F1"/>
    <w:rsid w:val="00475677"/>
    <w:rsid w:val="004955BF"/>
    <w:rsid w:val="004B56F7"/>
    <w:rsid w:val="004C2221"/>
    <w:rsid w:val="004C572B"/>
    <w:rsid w:val="004C7B22"/>
    <w:rsid w:val="004E348B"/>
    <w:rsid w:val="005018D2"/>
    <w:rsid w:val="005331A9"/>
    <w:rsid w:val="0054174C"/>
    <w:rsid w:val="00547A88"/>
    <w:rsid w:val="00574F17"/>
    <w:rsid w:val="005951F3"/>
    <w:rsid w:val="005A591E"/>
    <w:rsid w:val="005A7ADE"/>
    <w:rsid w:val="005B4873"/>
    <w:rsid w:val="005D0770"/>
    <w:rsid w:val="005D2666"/>
    <w:rsid w:val="005D7A16"/>
    <w:rsid w:val="006103E1"/>
    <w:rsid w:val="00616402"/>
    <w:rsid w:val="006262D9"/>
    <w:rsid w:val="00644E8B"/>
    <w:rsid w:val="00655C36"/>
    <w:rsid w:val="00656DFF"/>
    <w:rsid w:val="00662026"/>
    <w:rsid w:val="0067507B"/>
    <w:rsid w:val="006877EA"/>
    <w:rsid w:val="006C35BC"/>
    <w:rsid w:val="006D278E"/>
    <w:rsid w:val="006E7817"/>
    <w:rsid w:val="006F1515"/>
    <w:rsid w:val="00735908"/>
    <w:rsid w:val="00742706"/>
    <w:rsid w:val="00781366"/>
    <w:rsid w:val="00785F01"/>
    <w:rsid w:val="00792215"/>
    <w:rsid w:val="00795A34"/>
    <w:rsid w:val="007A328B"/>
    <w:rsid w:val="007B6BF5"/>
    <w:rsid w:val="007C2460"/>
    <w:rsid w:val="007C776D"/>
    <w:rsid w:val="007D563A"/>
    <w:rsid w:val="007E0D9F"/>
    <w:rsid w:val="007E2B68"/>
    <w:rsid w:val="007F026D"/>
    <w:rsid w:val="007F4D06"/>
    <w:rsid w:val="00821144"/>
    <w:rsid w:val="008312DE"/>
    <w:rsid w:val="00833F0D"/>
    <w:rsid w:val="00851AEB"/>
    <w:rsid w:val="00851D26"/>
    <w:rsid w:val="008646A1"/>
    <w:rsid w:val="00883B1A"/>
    <w:rsid w:val="0089525C"/>
    <w:rsid w:val="0089626D"/>
    <w:rsid w:val="008C5D50"/>
    <w:rsid w:val="008C5F28"/>
    <w:rsid w:val="008D3BAF"/>
    <w:rsid w:val="008D4999"/>
    <w:rsid w:val="008D6DE9"/>
    <w:rsid w:val="008E03C3"/>
    <w:rsid w:val="008E4AC9"/>
    <w:rsid w:val="008E5CDB"/>
    <w:rsid w:val="008F5392"/>
    <w:rsid w:val="00902F3E"/>
    <w:rsid w:val="00904101"/>
    <w:rsid w:val="009200AB"/>
    <w:rsid w:val="00936704"/>
    <w:rsid w:val="00941FCC"/>
    <w:rsid w:val="00957F9D"/>
    <w:rsid w:val="0096692A"/>
    <w:rsid w:val="00971F79"/>
    <w:rsid w:val="00977CC2"/>
    <w:rsid w:val="00980D59"/>
    <w:rsid w:val="009C2EA0"/>
    <w:rsid w:val="009D630D"/>
    <w:rsid w:val="009E31DC"/>
    <w:rsid w:val="009E4EFF"/>
    <w:rsid w:val="009E7EB5"/>
    <w:rsid w:val="00A22F09"/>
    <w:rsid w:val="00A50608"/>
    <w:rsid w:val="00A6365D"/>
    <w:rsid w:val="00A663B9"/>
    <w:rsid w:val="00A668D9"/>
    <w:rsid w:val="00A67D4E"/>
    <w:rsid w:val="00A86218"/>
    <w:rsid w:val="00A9239E"/>
    <w:rsid w:val="00AB1616"/>
    <w:rsid w:val="00AC48D4"/>
    <w:rsid w:val="00AD3BEB"/>
    <w:rsid w:val="00B26A4C"/>
    <w:rsid w:val="00B27A7F"/>
    <w:rsid w:val="00B500C9"/>
    <w:rsid w:val="00B538DB"/>
    <w:rsid w:val="00B55F0E"/>
    <w:rsid w:val="00B70DD8"/>
    <w:rsid w:val="00B7751A"/>
    <w:rsid w:val="00B9493A"/>
    <w:rsid w:val="00B95DC0"/>
    <w:rsid w:val="00B979FC"/>
    <w:rsid w:val="00B97A78"/>
    <w:rsid w:val="00BA549C"/>
    <w:rsid w:val="00BD146F"/>
    <w:rsid w:val="00BD7112"/>
    <w:rsid w:val="00C03A77"/>
    <w:rsid w:val="00C20E64"/>
    <w:rsid w:val="00C567B8"/>
    <w:rsid w:val="00C672EB"/>
    <w:rsid w:val="00C955A6"/>
    <w:rsid w:val="00CD0D75"/>
    <w:rsid w:val="00CD2FD5"/>
    <w:rsid w:val="00CE13E8"/>
    <w:rsid w:val="00D327AE"/>
    <w:rsid w:val="00D32A01"/>
    <w:rsid w:val="00D92867"/>
    <w:rsid w:val="00D95712"/>
    <w:rsid w:val="00DA531C"/>
    <w:rsid w:val="00DB346D"/>
    <w:rsid w:val="00E149A1"/>
    <w:rsid w:val="00E165F2"/>
    <w:rsid w:val="00E434B8"/>
    <w:rsid w:val="00E7511B"/>
    <w:rsid w:val="00E96CEE"/>
    <w:rsid w:val="00EB2C74"/>
    <w:rsid w:val="00ED05C8"/>
    <w:rsid w:val="00EE1D21"/>
    <w:rsid w:val="00F24DA4"/>
    <w:rsid w:val="00F40AE1"/>
    <w:rsid w:val="00F47CED"/>
    <w:rsid w:val="00F5008E"/>
    <w:rsid w:val="00F525D1"/>
    <w:rsid w:val="00F57690"/>
    <w:rsid w:val="00F66362"/>
    <w:rsid w:val="00F712A4"/>
    <w:rsid w:val="00F76204"/>
    <w:rsid w:val="00F83C71"/>
    <w:rsid w:val="00F94CC0"/>
    <w:rsid w:val="00F95E74"/>
    <w:rsid w:val="00FA2021"/>
    <w:rsid w:val="00FC6601"/>
    <w:rsid w:val="00FC789E"/>
    <w:rsid w:val="00FD792C"/>
    <w:rsid w:val="00FE63CB"/>
    <w:rsid w:val="00FF0B34"/>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0" w:defSemiHidden="0" w:defUnhideWhenUsed="0" w:defQFormat="0" w:count="276">
    <w:lsdException w:name="footnote text" w:uiPriority="99"/>
    <w:lsdException w:name="footnote reference" w:uiPriority="99"/>
    <w:lsdException w:name="HTML Preformatted" w:uiPriority="99"/>
    <w:lsdException w:name="List Paragraph" w:uiPriority="34" w:qFormat="1"/>
  </w:latentStyles>
  <w:style w:type="paragraph" w:default="1" w:styleId="Normal">
    <w:name w:val="Normal"/>
    <w:qFormat/>
    <w:rsid w:val="00FA2021"/>
    <w:rPr>
      <w:sz w:val="24"/>
      <w:szCs w:val="24"/>
    </w:rPr>
  </w:style>
  <w:style w:type="paragraph" w:styleId="Heading1">
    <w:name w:val="heading 1"/>
    <w:basedOn w:val="Normal"/>
    <w:next w:val="Normal"/>
    <w:link w:val="Heading1Char"/>
    <w:uiPriority w:val="99"/>
    <w:qFormat/>
    <w:locked/>
    <w:rsid w:val="0093670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EE1D2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EE1D2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F76204"/>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F76204"/>
    <w:pPr>
      <w:spacing w:before="240" w:after="60"/>
      <w:outlineLvl w:val="4"/>
    </w:pPr>
    <w:rPr>
      <w:b/>
      <w:bCs/>
      <w:i/>
      <w:i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9F62F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F62F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F62F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F62F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F62F2"/>
    <w:rPr>
      <w:rFonts w:asciiTheme="minorHAnsi" w:eastAsiaTheme="minorEastAsia" w:hAnsiTheme="minorHAnsi" w:cstheme="minorBidi"/>
      <w:b/>
      <w:bCs/>
      <w:i/>
      <w:iCs/>
      <w:sz w:val="26"/>
      <w:szCs w:val="26"/>
    </w:rPr>
  </w:style>
  <w:style w:type="paragraph" w:styleId="FootnoteText">
    <w:name w:val="footnote text"/>
    <w:basedOn w:val="Normal"/>
    <w:link w:val="FootnoteTextChar"/>
    <w:autoRedefine/>
    <w:uiPriority w:val="99"/>
    <w:rsid w:val="00FA2021"/>
    <w:pPr>
      <w:tabs>
        <w:tab w:val="left" w:pos="284"/>
      </w:tabs>
      <w:spacing w:after="80" w:line="264" w:lineRule="auto"/>
      <w:ind w:left="284" w:hanging="284"/>
      <w:jc w:val="both"/>
    </w:pPr>
    <w:rPr>
      <w:rFonts w:ascii="Times New Roman" w:eastAsia="Times New Roman" w:hAnsi="Times New Roman"/>
      <w:sz w:val="20"/>
      <w:szCs w:val="20"/>
      <w:lang w:val="fr-FR"/>
    </w:rPr>
  </w:style>
  <w:style w:type="character" w:customStyle="1" w:styleId="FootnoteTextChar">
    <w:name w:val="Footnote Text Char"/>
    <w:basedOn w:val="DefaultParagraphFont"/>
    <w:link w:val="FootnoteText"/>
    <w:uiPriority w:val="99"/>
    <w:locked/>
    <w:rsid w:val="00FA2021"/>
    <w:rPr>
      <w:rFonts w:ascii="Times New Roman" w:hAnsi="Times New Roman" w:cs="Times New Roman"/>
      <w:sz w:val="20"/>
      <w:szCs w:val="20"/>
      <w:lang w:val="fr-FR"/>
    </w:rPr>
  </w:style>
  <w:style w:type="character" w:customStyle="1" w:styleId="FootnoteTextChar1">
    <w:name w:val="Footnote Text Char1"/>
    <w:basedOn w:val="DefaultParagraphFont"/>
    <w:uiPriority w:val="99"/>
    <w:locked/>
    <w:rsid w:val="00FA2021"/>
    <w:rPr>
      <w:rFonts w:ascii="Times New Roman" w:hAnsi="Times New Roman" w:cs="Times New Roman"/>
      <w:lang w:val="fr-FR"/>
    </w:rPr>
  </w:style>
  <w:style w:type="paragraph" w:styleId="ListParagraph">
    <w:name w:val="List Paragraph"/>
    <w:basedOn w:val="Normal"/>
    <w:uiPriority w:val="34"/>
    <w:qFormat/>
    <w:rsid w:val="007B6BF5"/>
    <w:pPr>
      <w:ind w:left="720"/>
      <w:contextualSpacing/>
    </w:pPr>
  </w:style>
  <w:style w:type="paragraph" w:styleId="Footer">
    <w:name w:val="footer"/>
    <w:basedOn w:val="Normal"/>
    <w:link w:val="FooterChar"/>
    <w:uiPriority w:val="99"/>
    <w:semiHidden/>
    <w:unhideWhenUsed/>
    <w:rsid w:val="009D630D"/>
    <w:pPr>
      <w:tabs>
        <w:tab w:val="center" w:pos="4320"/>
        <w:tab w:val="right" w:pos="8640"/>
      </w:tabs>
    </w:pPr>
  </w:style>
  <w:style w:type="character" w:customStyle="1" w:styleId="FooterChar">
    <w:name w:val="Footer Char"/>
    <w:basedOn w:val="DefaultParagraphFont"/>
    <w:link w:val="Footer"/>
    <w:uiPriority w:val="99"/>
    <w:semiHidden/>
    <w:rsid w:val="009D630D"/>
    <w:rPr>
      <w:sz w:val="24"/>
      <w:szCs w:val="24"/>
    </w:rPr>
  </w:style>
  <w:style w:type="character" w:styleId="PageNumber">
    <w:name w:val="page number"/>
    <w:basedOn w:val="DefaultParagraphFont"/>
    <w:uiPriority w:val="99"/>
    <w:semiHidden/>
    <w:unhideWhenUsed/>
    <w:rsid w:val="009D630D"/>
  </w:style>
  <w:style w:type="paragraph" w:styleId="HTMLPreformatted">
    <w:name w:val="HTML Preformatted"/>
    <w:basedOn w:val="Normal"/>
    <w:link w:val="HTMLPreformattedChar"/>
    <w:uiPriority w:val="99"/>
    <w:rsid w:val="00BA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de-DE"/>
    </w:rPr>
  </w:style>
  <w:style w:type="character" w:customStyle="1" w:styleId="HTMLPreformattedChar">
    <w:name w:val="HTML Preformatted Char"/>
    <w:basedOn w:val="DefaultParagraphFont"/>
    <w:link w:val="HTMLPreformatted"/>
    <w:uiPriority w:val="99"/>
    <w:rsid w:val="00BA549C"/>
    <w:rPr>
      <w:rFonts w:ascii="Courier" w:hAnsi="Courier" w:cs="Courier"/>
      <w:sz w:val="20"/>
      <w:szCs w:val="20"/>
      <w:lang w:val="de-DE"/>
    </w:rPr>
  </w:style>
  <w:style w:type="paragraph" w:customStyle="1" w:styleId="c19centre">
    <w:name w:val="c19centre"/>
    <w:basedOn w:val="Normal"/>
    <w:rsid w:val="009E31DC"/>
    <w:pPr>
      <w:spacing w:beforeLines="1" w:afterLines="1"/>
    </w:pPr>
    <w:rPr>
      <w:rFonts w:ascii="Times" w:hAnsi="Times"/>
      <w:sz w:val="20"/>
      <w:szCs w:val="20"/>
      <w:lang w:val="de-DE"/>
    </w:rPr>
  </w:style>
  <w:style w:type="character" w:styleId="FootnoteReference">
    <w:name w:val="footnote reference"/>
    <w:basedOn w:val="DefaultParagraphFont"/>
    <w:uiPriority w:val="99"/>
    <w:rsid w:val="00957F9D"/>
    <w:rPr>
      <w:rFonts w:cs="Times New Roman"/>
      <w:vertAlign w:val="superscript"/>
    </w:rPr>
  </w:style>
  <w:style w:type="paragraph" w:styleId="BalloonText">
    <w:name w:val="Balloon Text"/>
    <w:basedOn w:val="Normal"/>
    <w:link w:val="BalloonTextChar"/>
    <w:rsid w:val="00957F9D"/>
    <w:rPr>
      <w:rFonts w:ascii="Lucida Grande" w:hAnsi="Lucida Grande" w:cs="Lucida Grande"/>
      <w:sz w:val="18"/>
      <w:szCs w:val="18"/>
    </w:rPr>
  </w:style>
  <w:style w:type="character" w:customStyle="1" w:styleId="BalloonTextChar">
    <w:name w:val="Balloon Text Char"/>
    <w:basedOn w:val="DefaultParagraphFont"/>
    <w:link w:val="BalloonText"/>
    <w:rsid w:val="00957F9D"/>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5140583">
      <w:bodyDiv w:val="1"/>
      <w:marLeft w:val="0"/>
      <w:marRight w:val="0"/>
      <w:marTop w:val="0"/>
      <w:marBottom w:val="0"/>
      <w:divBdr>
        <w:top w:val="none" w:sz="0" w:space="0" w:color="auto"/>
        <w:left w:val="none" w:sz="0" w:space="0" w:color="auto"/>
        <w:bottom w:val="none" w:sz="0" w:space="0" w:color="auto"/>
        <w:right w:val="none" w:sz="0" w:space="0" w:color="auto"/>
      </w:divBdr>
    </w:div>
    <w:div w:id="78142990">
      <w:bodyDiv w:val="1"/>
      <w:marLeft w:val="0"/>
      <w:marRight w:val="0"/>
      <w:marTop w:val="0"/>
      <w:marBottom w:val="0"/>
      <w:divBdr>
        <w:top w:val="none" w:sz="0" w:space="0" w:color="auto"/>
        <w:left w:val="none" w:sz="0" w:space="0" w:color="auto"/>
        <w:bottom w:val="none" w:sz="0" w:space="0" w:color="auto"/>
        <w:right w:val="none" w:sz="0" w:space="0" w:color="auto"/>
      </w:divBdr>
      <w:divsChild>
        <w:div w:id="217014285">
          <w:marLeft w:val="0"/>
          <w:marRight w:val="0"/>
          <w:marTop w:val="0"/>
          <w:marBottom w:val="0"/>
          <w:divBdr>
            <w:top w:val="none" w:sz="0" w:space="0" w:color="auto"/>
            <w:left w:val="none" w:sz="0" w:space="0" w:color="auto"/>
            <w:bottom w:val="none" w:sz="0" w:space="0" w:color="auto"/>
            <w:right w:val="none" w:sz="0" w:space="0" w:color="auto"/>
          </w:divBdr>
        </w:div>
        <w:div w:id="2010791577">
          <w:marLeft w:val="0"/>
          <w:marRight w:val="0"/>
          <w:marTop w:val="0"/>
          <w:marBottom w:val="0"/>
          <w:divBdr>
            <w:top w:val="none" w:sz="0" w:space="0" w:color="auto"/>
            <w:left w:val="none" w:sz="0" w:space="0" w:color="auto"/>
            <w:bottom w:val="none" w:sz="0" w:space="0" w:color="auto"/>
            <w:right w:val="none" w:sz="0" w:space="0" w:color="auto"/>
          </w:divBdr>
        </w:div>
        <w:div w:id="2093502951">
          <w:marLeft w:val="0"/>
          <w:marRight w:val="0"/>
          <w:marTop w:val="0"/>
          <w:marBottom w:val="0"/>
          <w:divBdr>
            <w:top w:val="none" w:sz="0" w:space="0" w:color="auto"/>
            <w:left w:val="none" w:sz="0" w:space="0" w:color="auto"/>
            <w:bottom w:val="none" w:sz="0" w:space="0" w:color="auto"/>
            <w:right w:val="none" w:sz="0" w:space="0" w:color="auto"/>
          </w:divBdr>
        </w:div>
        <w:div w:id="413816886">
          <w:marLeft w:val="0"/>
          <w:marRight w:val="0"/>
          <w:marTop w:val="0"/>
          <w:marBottom w:val="0"/>
          <w:divBdr>
            <w:top w:val="none" w:sz="0" w:space="0" w:color="auto"/>
            <w:left w:val="none" w:sz="0" w:space="0" w:color="auto"/>
            <w:bottom w:val="none" w:sz="0" w:space="0" w:color="auto"/>
            <w:right w:val="none" w:sz="0" w:space="0" w:color="auto"/>
          </w:divBdr>
        </w:div>
        <w:div w:id="612857574">
          <w:marLeft w:val="0"/>
          <w:marRight w:val="0"/>
          <w:marTop w:val="0"/>
          <w:marBottom w:val="0"/>
          <w:divBdr>
            <w:top w:val="none" w:sz="0" w:space="0" w:color="auto"/>
            <w:left w:val="none" w:sz="0" w:space="0" w:color="auto"/>
            <w:bottom w:val="none" w:sz="0" w:space="0" w:color="auto"/>
            <w:right w:val="none" w:sz="0" w:space="0" w:color="auto"/>
          </w:divBdr>
        </w:div>
        <w:div w:id="1922250274">
          <w:marLeft w:val="0"/>
          <w:marRight w:val="0"/>
          <w:marTop w:val="0"/>
          <w:marBottom w:val="0"/>
          <w:divBdr>
            <w:top w:val="none" w:sz="0" w:space="0" w:color="auto"/>
            <w:left w:val="none" w:sz="0" w:space="0" w:color="auto"/>
            <w:bottom w:val="none" w:sz="0" w:space="0" w:color="auto"/>
            <w:right w:val="none" w:sz="0" w:space="0" w:color="auto"/>
          </w:divBdr>
        </w:div>
        <w:div w:id="1582064754">
          <w:marLeft w:val="0"/>
          <w:marRight w:val="0"/>
          <w:marTop w:val="0"/>
          <w:marBottom w:val="0"/>
          <w:divBdr>
            <w:top w:val="none" w:sz="0" w:space="0" w:color="auto"/>
            <w:left w:val="none" w:sz="0" w:space="0" w:color="auto"/>
            <w:bottom w:val="none" w:sz="0" w:space="0" w:color="auto"/>
            <w:right w:val="none" w:sz="0" w:space="0" w:color="auto"/>
          </w:divBdr>
        </w:div>
        <w:div w:id="546335249">
          <w:marLeft w:val="0"/>
          <w:marRight w:val="0"/>
          <w:marTop w:val="0"/>
          <w:marBottom w:val="0"/>
          <w:divBdr>
            <w:top w:val="none" w:sz="0" w:space="0" w:color="auto"/>
            <w:left w:val="none" w:sz="0" w:space="0" w:color="auto"/>
            <w:bottom w:val="none" w:sz="0" w:space="0" w:color="auto"/>
            <w:right w:val="none" w:sz="0" w:space="0" w:color="auto"/>
          </w:divBdr>
        </w:div>
        <w:div w:id="1063060580">
          <w:marLeft w:val="0"/>
          <w:marRight w:val="0"/>
          <w:marTop w:val="0"/>
          <w:marBottom w:val="0"/>
          <w:divBdr>
            <w:top w:val="none" w:sz="0" w:space="0" w:color="auto"/>
            <w:left w:val="none" w:sz="0" w:space="0" w:color="auto"/>
            <w:bottom w:val="none" w:sz="0" w:space="0" w:color="auto"/>
            <w:right w:val="none" w:sz="0" w:space="0" w:color="auto"/>
          </w:divBdr>
        </w:div>
        <w:div w:id="1941062826">
          <w:marLeft w:val="0"/>
          <w:marRight w:val="0"/>
          <w:marTop w:val="0"/>
          <w:marBottom w:val="0"/>
          <w:divBdr>
            <w:top w:val="none" w:sz="0" w:space="0" w:color="auto"/>
            <w:left w:val="none" w:sz="0" w:space="0" w:color="auto"/>
            <w:bottom w:val="none" w:sz="0" w:space="0" w:color="auto"/>
            <w:right w:val="none" w:sz="0" w:space="0" w:color="auto"/>
          </w:divBdr>
        </w:div>
        <w:div w:id="993218634">
          <w:marLeft w:val="0"/>
          <w:marRight w:val="0"/>
          <w:marTop w:val="0"/>
          <w:marBottom w:val="0"/>
          <w:divBdr>
            <w:top w:val="none" w:sz="0" w:space="0" w:color="auto"/>
            <w:left w:val="none" w:sz="0" w:space="0" w:color="auto"/>
            <w:bottom w:val="none" w:sz="0" w:space="0" w:color="auto"/>
            <w:right w:val="none" w:sz="0" w:space="0" w:color="auto"/>
          </w:divBdr>
        </w:div>
        <w:div w:id="1082877844">
          <w:marLeft w:val="0"/>
          <w:marRight w:val="0"/>
          <w:marTop w:val="0"/>
          <w:marBottom w:val="0"/>
          <w:divBdr>
            <w:top w:val="none" w:sz="0" w:space="0" w:color="auto"/>
            <w:left w:val="none" w:sz="0" w:space="0" w:color="auto"/>
            <w:bottom w:val="none" w:sz="0" w:space="0" w:color="auto"/>
            <w:right w:val="none" w:sz="0" w:space="0" w:color="auto"/>
          </w:divBdr>
        </w:div>
        <w:div w:id="1381711675">
          <w:marLeft w:val="0"/>
          <w:marRight w:val="0"/>
          <w:marTop w:val="0"/>
          <w:marBottom w:val="0"/>
          <w:divBdr>
            <w:top w:val="none" w:sz="0" w:space="0" w:color="auto"/>
            <w:left w:val="none" w:sz="0" w:space="0" w:color="auto"/>
            <w:bottom w:val="none" w:sz="0" w:space="0" w:color="auto"/>
            <w:right w:val="none" w:sz="0" w:space="0" w:color="auto"/>
          </w:divBdr>
        </w:div>
        <w:div w:id="1628197466">
          <w:marLeft w:val="0"/>
          <w:marRight w:val="0"/>
          <w:marTop w:val="0"/>
          <w:marBottom w:val="0"/>
          <w:divBdr>
            <w:top w:val="none" w:sz="0" w:space="0" w:color="auto"/>
            <w:left w:val="none" w:sz="0" w:space="0" w:color="auto"/>
            <w:bottom w:val="none" w:sz="0" w:space="0" w:color="auto"/>
            <w:right w:val="none" w:sz="0" w:space="0" w:color="auto"/>
          </w:divBdr>
        </w:div>
        <w:div w:id="1864972164">
          <w:marLeft w:val="0"/>
          <w:marRight w:val="0"/>
          <w:marTop w:val="0"/>
          <w:marBottom w:val="0"/>
          <w:divBdr>
            <w:top w:val="none" w:sz="0" w:space="0" w:color="auto"/>
            <w:left w:val="none" w:sz="0" w:space="0" w:color="auto"/>
            <w:bottom w:val="none" w:sz="0" w:space="0" w:color="auto"/>
            <w:right w:val="none" w:sz="0" w:space="0" w:color="auto"/>
          </w:divBdr>
        </w:div>
        <w:div w:id="1834253234">
          <w:marLeft w:val="0"/>
          <w:marRight w:val="0"/>
          <w:marTop w:val="0"/>
          <w:marBottom w:val="0"/>
          <w:divBdr>
            <w:top w:val="none" w:sz="0" w:space="0" w:color="auto"/>
            <w:left w:val="none" w:sz="0" w:space="0" w:color="auto"/>
            <w:bottom w:val="none" w:sz="0" w:space="0" w:color="auto"/>
            <w:right w:val="none" w:sz="0" w:space="0" w:color="auto"/>
          </w:divBdr>
        </w:div>
        <w:div w:id="51974474">
          <w:marLeft w:val="0"/>
          <w:marRight w:val="0"/>
          <w:marTop w:val="0"/>
          <w:marBottom w:val="0"/>
          <w:divBdr>
            <w:top w:val="none" w:sz="0" w:space="0" w:color="auto"/>
            <w:left w:val="none" w:sz="0" w:space="0" w:color="auto"/>
            <w:bottom w:val="none" w:sz="0" w:space="0" w:color="auto"/>
            <w:right w:val="none" w:sz="0" w:space="0" w:color="auto"/>
          </w:divBdr>
        </w:div>
        <w:div w:id="1117263256">
          <w:marLeft w:val="0"/>
          <w:marRight w:val="0"/>
          <w:marTop w:val="0"/>
          <w:marBottom w:val="0"/>
          <w:divBdr>
            <w:top w:val="none" w:sz="0" w:space="0" w:color="auto"/>
            <w:left w:val="none" w:sz="0" w:space="0" w:color="auto"/>
            <w:bottom w:val="none" w:sz="0" w:space="0" w:color="auto"/>
            <w:right w:val="none" w:sz="0" w:space="0" w:color="auto"/>
          </w:divBdr>
        </w:div>
        <w:div w:id="2102332326">
          <w:marLeft w:val="0"/>
          <w:marRight w:val="0"/>
          <w:marTop w:val="0"/>
          <w:marBottom w:val="0"/>
          <w:divBdr>
            <w:top w:val="none" w:sz="0" w:space="0" w:color="auto"/>
            <w:left w:val="none" w:sz="0" w:space="0" w:color="auto"/>
            <w:bottom w:val="none" w:sz="0" w:space="0" w:color="auto"/>
            <w:right w:val="none" w:sz="0" w:space="0" w:color="auto"/>
          </w:divBdr>
        </w:div>
        <w:div w:id="1912303527">
          <w:marLeft w:val="0"/>
          <w:marRight w:val="0"/>
          <w:marTop w:val="0"/>
          <w:marBottom w:val="0"/>
          <w:divBdr>
            <w:top w:val="none" w:sz="0" w:space="0" w:color="auto"/>
            <w:left w:val="none" w:sz="0" w:space="0" w:color="auto"/>
            <w:bottom w:val="none" w:sz="0" w:space="0" w:color="auto"/>
            <w:right w:val="none" w:sz="0" w:space="0" w:color="auto"/>
          </w:divBdr>
        </w:div>
        <w:div w:id="2111581105">
          <w:marLeft w:val="0"/>
          <w:marRight w:val="0"/>
          <w:marTop w:val="0"/>
          <w:marBottom w:val="0"/>
          <w:divBdr>
            <w:top w:val="none" w:sz="0" w:space="0" w:color="auto"/>
            <w:left w:val="none" w:sz="0" w:space="0" w:color="auto"/>
            <w:bottom w:val="none" w:sz="0" w:space="0" w:color="auto"/>
            <w:right w:val="none" w:sz="0" w:space="0" w:color="auto"/>
          </w:divBdr>
        </w:div>
        <w:div w:id="1167936199">
          <w:marLeft w:val="0"/>
          <w:marRight w:val="0"/>
          <w:marTop w:val="0"/>
          <w:marBottom w:val="0"/>
          <w:divBdr>
            <w:top w:val="none" w:sz="0" w:space="0" w:color="auto"/>
            <w:left w:val="none" w:sz="0" w:space="0" w:color="auto"/>
            <w:bottom w:val="none" w:sz="0" w:space="0" w:color="auto"/>
            <w:right w:val="none" w:sz="0" w:space="0" w:color="auto"/>
          </w:divBdr>
        </w:div>
        <w:div w:id="1415591349">
          <w:marLeft w:val="0"/>
          <w:marRight w:val="0"/>
          <w:marTop w:val="0"/>
          <w:marBottom w:val="0"/>
          <w:divBdr>
            <w:top w:val="none" w:sz="0" w:space="0" w:color="auto"/>
            <w:left w:val="none" w:sz="0" w:space="0" w:color="auto"/>
            <w:bottom w:val="none" w:sz="0" w:space="0" w:color="auto"/>
            <w:right w:val="none" w:sz="0" w:space="0" w:color="auto"/>
          </w:divBdr>
        </w:div>
        <w:div w:id="1723870657">
          <w:marLeft w:val="0"/>
          <w:marRight w:val="0"/>
          <w:marTop w:val="0"/>
          <w:marBottom w:val="0"/>
          <w:divBdr>
            <w:top w:val="none" w:sz="0" w:space="0" w:color="auto"/>
            <w:left w:val="none" w:sz="0" w:space="0" w:color="auto"/>
            <w:bottom w:val="none" w:sz="0" w:space="0" w:color="auto"/>
            <w:right w:val="none" w:sz="0" w:space="0" w:color="auto"/>
          </w:divBdr>
        </w:div>
        <w:div w:id="1545945989">
          <w:marLeft w:val="0"/>
          <w:marRight w:val="0"/>
          <w:marTop w:val="0"/>
          <w:marBottom w:val="0"/>
          <w:divBdr>
            <w:top w:val="none" w:sz="0" w:space="0" w:color="auto"/>
            <w:left w:val="none" w:sz="0" w:space="0" w:color="auto"/>
            <w:bottom w:val="none" w:sz="0" w:space="0" w:color="auto"/>
            <w:right w:val="none" w:sz="0" w:space="0" w:color="auto"/>
          </w:divBdr>
        </w:div>
        <w:div w:id="1749426264">
          <w:marLeft w:val="0"/>
          <w:marRight w:val="0"/>
          <w:marTop w:val="0"/>
          <w:marBottom w:val="0"/>
          <w:divBdr>
            <w:top w:val="none" w:sz="0" w:space="0" w:color="auto"/>
            <w:left w:val="none" w:sz="0" w:space="0" w:color="auto"/>
            <w:bottom w:val="none" w:sz="0" w:space="0" w:color="auto"/>
            <w:right w:val="none" w:sz="0" w:space="0" w:color="auto"/>
          </w:divBdr>
        </w:div>
        <w:div w:id="1682858554">
          <w:marLeft w:val="0"/>
          <w:marRight w:val="0"/>
          <w:marTop w:val="0"/>
          <w:marBottom w:val="0"/>
          <w:divBdr>
            <w:top w:val="none" w:sz="0" w:space="0" w:color="auto"/>
            <w:left w:val="none" w:sz="0" w:space="0" w:color="auto"/>
            <w:bottom w:val="none" w:sz="0" w:space="0" w:color="auto"/>
            <w:right w:val="none" w:sz="0" w:space="0" w:color="auto"/>
          </w:divBdr>
        </w:div>
        <w:div w:id="1611354420">
          <w:marLeft w:val="0"/>
          <w:marRight w:val="0"/>
          <w:marTop w:val="0"/>
          <w:marBottom w:val="0"/>
          <w:divBdr>
            <w:top w:val="none" w:sz="0" w:space="0" w:color="auto"/>
            <w:left w:val="none" w:sz="0" w:space="0" w:color="auto"/>
            <w:bottom w:val="none" w:sz="0" w:space="0" w:color="auto"/>
            <w:right w:val="none" w:sz="0" w:space="0" w:color="auto"/>
          </w:divBdr>
        </w:div>
        <w:div w:id="1452626863">
          <w:marLeft w:val="0"/>
          <w:marRight w:val="0"/>
          <w:marTop w:val="0"/>
          <w:marBottom w:val="0"/>
          <w:divBdr>
            <w:top w:val="none" w:sz="0" w:space="0" w:color="auto"/>
            <w:left w:val="none" w:sz="0" w:space="0" w:color="auto"/>
            <w:bottom w:val="none" w:sz="0" w:space="0" w:color="auto"/>
            <w:right w:val="none" w:sz="0" w:space="0" w:color="auto"/>
          </w:divBdr>
        </w:div>
        <w:div w:id="2075858648">
          <w:marLeft w:val="0"/>
          <w:marRight w:val="0"/>
          <w:marTop w:val="0"/>
          <w:marBottom w:val="0"/>
          <w:divBdr>
            <w:top w:val="none" w:sz="0" w:space="0" w:color="auto"/>
            <w:left w:val="none" w:sz="0" w:space="0" w:color="auto"/>
            <w:bottom w:val="none" w:sz="0" w:space="0" w:color="auto"/>
            <w:right w:val="none" w:sz="0" w:space="0" w:color="auto"/>
          </w:divBdr>
        </w:div>
        <w:div w:id="1569460933">
          <w:marLeft w:val="0"/>
          <w:marRight w:val="0"/>
          <w:marTop w:val="0"/>
          <w:marBottom w:val="0"/>
          <w:divBdr>
            <w:top w:val="none" w:sz="0" w:space="0" w:color="auto"/>
            <w:left w:val="none" w:sz="0" w:space="0" w:color="auto"/>
            <w:bottom w:val="none" w:sz="0" w:space="0" w:color="auto"/>
            <w:right w:val="none" w:sz="0" w:space="0" w:color="auto"/>
          </w:divBdr>
        </w:div>
        <w:div w:id="343365529">
          <w:marLeft w:val="0"/>
          <w:marRight w:val="0"/>
          <w:marTop w:val="0"/>
          <w:marBottom w:val="0"/>
          <w:divBdr>
            <w:top w:val="none" w:sz="0" w:space="0" w:color="auto"/>
            <w:left w:val="none" w:sz="0" w:space="0" w:color="auto"/>
            <w:bottom w:val="none" w:sz="0" w:space="0" w:color="auto"/>
            <w:right w:val="none" w:sz="0" w:space="0" w:color="auto"/>
          </w:divBdr>
        </w:div>
        <w:div w:id="529220541">
          <w:marLeft w:val="0"/>
          <w:marRight w:val="0"/>
          <w:marTop w:val="0"/>
          <w:marBottom w:val="0"/>
          <w:divBdr>
            <w:top w:val="none" w:sz="0" w:space="0" w:color="auto"/>
            <w:left w:val="none" w:sz="0" w:space="0" w:color="auto"/>
            <w:bottom w:val="none" w:sz="0" w:space="0" w:color="auto"/>
            <w:right w:val="none" w:sz="0" w:space="0" w:color="auto"/>
          </w:divBdr>
        </w:div>
        <w:div w:id="1446534604">
          <w:marLeft w:val="0"/>
          <w:marRight w:val="0"/>
          <w:marTop w:val="0"/>
          <w:marBottom w:val="0"/>
          <w:divBdr>
            <w:top w:val="none" w:sz="0" w:space="0" w:color="auto"/>
            <w:left w:val="none" w:sz="0" w:space="0" w:color="auto"/>
            <w:bottom w:val="none" w:sz="0" w:space="0" w:color="auto"/>
            <w:right w:val="none" w:sz="0" w:space="0" w:color="auto"/>
          </w:divBdr>
        </w:div>
        <w:div w:id="152839568">
          <w:marLeft w:val="0"/>
          <w:marRight w:val="0"/>
          <w:marTop w:val="0"/>
          <w:marBottom w:val="0"/>
          <w:divBdr>
            <w:top w:val="none" w:sz="0" w:space="0" w:color="auto"/>
            <w:left w:val="none" w:sz="0" w:space="0" w:color="auto"/>
            <w:bottom w:val="none" w:sz="0" w:space="0" w:color="auto"/>
            <w:right w:val="none" w:sz="0" w:space="0" w:color="auto"/>
          </w:divBdr>
        </w:div>
        <w:div w:id="503981242">
          <w:marLeft w:val="0"/>
          <w:marRight w:val="0"/>
          <w:marTop w:val="0"/>
          <w:marBottom w:val="0"/>
          <w:divBdr>
            <w:top w:val="none" w:sz="0" w:space="0" w:color="auto"/>
            <w:left w:val="none" w:sz="0" w:space="0" w:color="auto"/>
            <w:bottom w:val="none" w:sz="0" w:space="0" w:color="auto"/>
            <w:right w:val="none" w:sz="0" w:space="0" w:color="auto"/>
          </w:divBdr>
        </w:div>
        <w:div w:id="57677524">
          <w:marLeft w:val="0"/>
          <w:marRight w:val="0"/>
          <w:marTop w:val="0"/>
          <w:marBottom w:val="0"/>
          <w:divBdr>
            <w:top w:val="none" w:sz="0" w:space="0" w:color="auto"/>
            <w:left w:val="none" w:sz="0" w:space="0" w:color="auto"/>
            <w:bottom w:val="none" w:sz="0" w:space="0" w:color="auto"/>
            <w:right w:val="none" w:sz="0" w:space="0" w:color="auto"/>
          </w:divBdr>
        </w:div>
        <w:div w:id="1175074354">
          <w:marLeft w:val="0"/>
          <w:marRight w:val="0"/>
          <w:marTop w:val="0"/>
          <w:marBottom w:val="0"/>
          <w:divBdr>
            <w:top w:val="none" w:sz="0" w:space="0" w:color="auto"/>
            <w:left w:val="none" w:sz="0" w:space="0" w:color="auto"/>
            <w:bottom w:val="none" w:sz="0" w:space="0" w:color="auto"/>
            <w:right w:val="none" w:sz="0" w:space="0" w:color="auto"/>
          </w:divBdr>
        </w:div>
        <w:div w:id="1191724844">
          <w:marLeft w:val="0"/>
          <w:marRight w:val="0"/>
          <w:marTop w:val="0"/>
          <w:marBottom w:val="0"/>
          <w:divBdr>
            <w:top w:val="none" w:sz="0" w:space="0" w:color="auto"/>
            <w:left w:val="none" w:sz="0" w:space="0" w:color="auto"/>
            <w:bottom w:val="none" w:sz="0" w:space="0" w:color="auto"/>
            <w:right w:val="none" w:sz="0" w:space="0" w:color="auto"/>
          </w:divBdr>
        </w:div>
        <w:div w:id="2100708086">
          <w:marLeft w:val="0"/>
          <w:marRight w:val="0"/>
          <w:marTop w:val="0"/>
          <w:marBottom w:val="0"/>
          <w:divBdr>
            <w:top w:val="none" w:sz="0" w:space="0" w:color="auto"/>
            <w:left w:val="none" w:sz="0" w:space="0" w:color="auto"/>
            <w:bottom w:val="none" w:sz="0" w:space="0" w:color="auto"/>
            <w:right w:val="none" w:sz="0" w:space="0" w:color="auto"/>
          </w:divBdr>
        </w:div>
        <w:div w:id="1778021249">
          <w:marLeft w:val="0"/>
          <w:marRight w:val="0"/>
          <w:marTop w:val="0"/>
          <w:marBottom w:val="0"/>
          <w:divBdr>
            <w:top w:val="none" w:sz="0" w:space="0" w:color="auto"/>
            <w:left w:val="none" w:sz="0" w:space="0" w:color="auto"/>
            <w:bottom w:val="none" w:sz="0" w:space="0" w:color="auto"/>
            <w:right w:val="none" w:sz="0" w:space="0" w:color="auto"/>
          </w:divBdr>
        </w:div>
        <w:div w:id="1089085779">
          <w:marLeft w:val="0"/>
          <w:marRight w:val="0"/>
          <w:marTop w:val="0"/>
          <w:marBottom w:val="0"/>
          <w:divBdr>
            <w:top w:val="none" w:sz="0" w:space="0" w:color="auto"/>
            <w:left w:val="none" w:sz="0" w:space="0" w:color="auto"/>
            <w:bottom w:val="none" w:sz="0" w:space="0" w:color="auto"/>
            <w:right w:val="none" w:sz="0" w:space="0" w:color="auto"/>
          </w:divBdr>
        </w:div>
        <w:div w:id="85275024">
          <w:marLeft w:val="0"/>
          <w:marRight w:val="0"/>
          <w:marTop w:val="0"/>
          <w:marBottom w:val="0"/>
          <w:divBdr>
            <w:top w:val="none" w:sz="0" w:space="0" w:color="auto"/>
            <w:left w:val="none" w:sz="0" w:space="0" w:color="auto"/>
            <w:bottom w:val="none" w:sz="0" w:space="0" w:color="auto"/>
            <w:right w:val="none" w:sz="0" w:space="0" w:color="auto"/>
          </w:divBdr>
        </w:div>
        <w:div w:id="1844274622">
          <w:marLeft w:val="0"/>
          <w:marRight w:val="0"/>
          <w:marTop w:val="0"/>
          <w:marBottom w:val="0"/>
          <w:divBdr>
            <w:top w:val="none" w:sz="0" w:space="0" w:color="auto"/>
            <w:left w:val="none" w:sz="0" w:space="0" w:color="auto"/>
            <w:bottom w:val="none" w:sz="0" w:space="0" w:color="auto"/>
            <w:right w:val="none" w:sz="0" w:space="0" w:color="auto"/>
          </w:divBdr>
        </w:div>
        <w:div w:id="1136488225">
          <w:marLeft w:val="0"/>
          <w:marRight w:val="0"/>
          <w:marTop w:val="0"/>
          <w:marBottom w:val="0"/>
          <w:divBdr>
            <w:top w:val="none" w:sz="0" w:space="0" w:color="auto"/>
            <w:left w:val="none" w:sz="0" w:space="0" w:color="auto"/>
            <w:bottom w:val="none" w:sz="0" w:space="0" w:color="auto"/>
            <w:right w:val="none" w:sz="0" w:space="0" w:color="auto"/>
          </w:divBdr>
        </w:div>
        <w:div w:id="2090536013">
          <w:marLeft w:val="0"/>
          <w:marRight w:val="0"/>
          <w:marTop w:val="0"/>
          <w:marBottom w:val="0"/>
          <w:divBdr>
            <w:top w:val="none" w:sz="0" w:space="0" w:color="auto"/>
            <w:left w:val="none" w:sz="0" w:space="0" w:color="auto"/>
            <w:bottom w:val="none" w:sz="0" w:space="0" w:color="auto"/>
            <w:right w:val="none" w:sz="0" w:space="0" w:color="auto"/>
          </w:divBdr>
        </w:div>
        <w:div w:id="2635704">
          <w:marLeft w:val="0"/>
          <w:marRight w:val="0"/>
          <w:marTop w:val="0"/>
          <w:marBottom w:val="0"/>
          <w:divBdr>
            <w:top w:val="none" w:sz="0" w:space="0" w:color="auto"/>
            <w:left w:val="none" w:sz="0" w:space="0" w:color="auto"/>
            <w:bottom w:val="none" w:sz="0" w:space="0" w:color="auto"/>
            <w:right w:val="none" w:sz="0" w:space="0" w:color="auto"/>
          </w:divBdr>
        </w:div>
        <w:div w:id="639728140">
          <w:marLeft w:val="0"/>
          <w:marRight w:val="0"/>
          <w:marTop w:val="0"/>
          <w:marBottom w:val="0"/>
          <w:divBdr>
            <w:top w:val="none" w:sz="0" w:space="0" w:color="auto"/>
            <w:left w:val="none" w:sz="0" w:space="0" w:color="auto"/>
            <w:bottom w:val="none" w:sz="0" w:space="0" w:color="auto"/>
            <w:right w:val="none" w:sz="0" w:space="0" w:color="auto"/>
          </w:divBdr>
        </w:div>
        <w:div w:id="1303383028">
          <w:marLeft w:val="0"/>
          <w:marRight w:val="0"/>
          <w:marTop w:val="0"/>
          <w:marBottom w:val="0"/>
          <w:divBdr>
            <w:top w:val="none" w:sz="0" w:space="0" w:color="auto"/>
            <w:left w:val="none" w:sz="0" w:space="0" w:color="auto"/>
            <w:bottom w:val="none" w:sz="0" w:space="0" w:color="auto"/>
            <w:right w:val="none" w:sz="0" w:space="0" w:color="auto"/>
          </w:divBdr>
        </w:div>
        <w:div w:id="647586495">
          <w:marLeft w:val="0"/>
          <w:marRight w:val="0"/>
          <w:marTop w:val="0"/>
          <w:marBottom w:val="0"/>
          <w:divBdr>
            <w:top w:val="none" w:sz="0" w:space="0" w:color="auto"/>
            <w:left w:val="none" w:sz="0" w:space="0" w:color="auto"/>
            <w:bottom w:val="none" w:sz="0" w:space="0" w:color="auto"/>
            <w:right w:val="none" w:sz="0" w:space="0" w:color="auto"/>
          </w:divBdr>
        </w:div>
        <w:div w:id="1439719615">
          <w:marLeft w:val="0"/>
          <w:marRight w:val="0"/>
          <w:marTop w:val="0"/>
          <w:marBottom w:val="0"/>
          <w:divBdr>
            <w:top w:val="none" w:sz="0" w:space="0" w:color="auto"/>
            <w:left w:val="none" w:sz="0" w:space="0" w:color="auto"/>
            <w:bottom w:val="none" w:sz="0" w:space="0" w:color="auto"/>
            <w:right w:val="none" w:sz="0" w:space="0" w:color="auto"/>
          </w:divBdr>
        </w:div>
        <w:div w:id="679739634">
          <w:marLeft w:val="0"/>
          <w:marRight w:val="0"/>
          <w:marTop w:val="0"/>
          <w:marBottom w:val="0"/>
          <w:divBdr>
            <w:top w:val="none" w:sz="0" w:space="0" w:color="auto"/>
            <w:left w:val="none" w:sz="0" w:space="0" w:color="auto"/>
            <w:bottom w:val="none" w:sz="0" w:space="0" w:color="auto"/>
            <w:right w:val="none" w:sz="0" w:space="0" w:color="auto"/>
          </w:divBdr>
        </w:div>
        <w:div w:id="1441099276">
          <w:marLeft w:val="0"/>
          <w:marRight w:val="0"/>
          <w:marTop w:val="0"/>
          <w:marBottom w:val="0"/>
          <w:divBdr>
            <w:top w:val="none" w:sz="0" w:space="0" w:color="auto"/>
            <w:left w:val="none" w:sz="0" w:space="0" w:color="auto"/>
            <w:bottom w:val="none" w:sz="0" w:space="0" w:color="auto"/>
            <w:right w:val="none" w:sz="0" w:space="0" w:color="auto"/>
          </w:divBdr>
        </w:div>
        <w:div w:id="1742799357">
          <w:marLeft w:val="0"/>
          <w:marRight w:val="0"/>
          <w:marTop w:val="0"/>
          <w:marBottom w:val="0"/>
          <w:divBdr>
            <w:top w:val="none" w:sz="0" w:space="0" w:color="auto"/>
            <w:left w:val="none" w:sz="0" w:space="0" w:color="auto"/>
            <w:bottom w:val="none" w:sz="0" w:space="0" w:color="auto"/>
            <w:right w:val="none" w:sz="0" w:space="0" w:color="auto"/>
          </w:divBdr>
        </w:div>
        <w:div w:id="1564561058">
          <w:marLeft w:val="0"/>
          <w:marRight w:val="0"/>
          <w:marTop w:val="0"/>
          <w:marBottom w:val="0"/>
          <w:divBdr>
            <w:top w:val="none" w:sz="0" w:space="0" w:color="auto"/>
            <w:left w:val="none" w:sz="0" w:space="0" w:color="auto"/>
            <w:bottom w:val="none" w:sz="0" w:space="0" w:color="auto"/>
            <w:right w:val="none" w:sz="0" w:space="0" w:color="auto"/>
          </w:divBdr>
        </w:div>
        <w:div w:id="1284731595">
          <w:marLeft w:val="0"/>
          <w:marRight w:val="0"/>
          <w:marTop w:val="0"/>
          <w:marBottom w:val="0"/>
          <w:divBdr>
            <w:top w:val="none" w:sz="0" w:space="0" w:color="auto"/>
            <w:left w:val="none" w:sz="0" w:space="0" w:color="auto"/>
            <w:bottom w:val="none" w:sz="0" w:space="0" w:color="auto"/>
            <w:right w:val="none" w:sz="0" w:space="0" w:color="auto"/>
          </w:divBdr>
        </w:div>
        <w:div w:id="253828420">
          <w:marLeft w:val="0"/>
          <w:marRight w:val="0"/>
          <w:marTop w:val="0"/>
          <w:marBottom w:val="0"/>
          <w:divBdr>
            <w:top w:val="none" w:sz="0" w:space="0" w:color="auto"/>
            <w:left w:val="none" w:sz="0" w:space="0" w:color="auto"/>
            <w:bottom w:val="none" w:sz="0" w:space="0" w:color="auto"/>
            <w:right w:val="none" w:sz="0" w:space="0" w:color="auto"/>
          </w:divBdr>
        </w:div>
        <w:div w:id="1547137122">
          <w:marLeft w:val="0"/>
          <w:marRight w:val="0"/>
          <w:marTop w:val="0"/>
          <w:marBottom w:val="0"/>
          <w:divBdr>
            <w:top w:val="none" w:sz="0" w:space="0" w:color="auto"/>
            <w:left w:val="none" w:sz="0" w:space="0" w:color="auto"/>
            <w:bottom w:val="none" w:sz="0" w:space="0" w:color="auto"/>
            <w:right w:val="none" w:sz="0" w:space="0" w:color="auto"/>
          </w:divBdr>
        </w:div>
        <w:div w:id="158928752">
          <w:marLeft w:val="0"/>
          <w:marRight w:val="0"/>
          <w:marTop w:val="0"/>
          <w:marBottom w:val="0"/>
          <w:divBdr>
            <w:top w:val="none" w:sz="0" w:space="0" w:color="auto"/>
            <w:left w:val="none" w:sz="0" w:space="0" w:color="auto"/>
            <w:bottom w:val="none" w:sz="0" w:space="0" w:color="auto"/>
            <w:right w:val="none" w:sz="0" w:space="0" w:color="auto"/>
          </w:divBdr>
        </w:div>
        <w:div w:id="1267273150">
          <w:marLeft w:val="0"/>
          <w:marRight w:val="0"/>
          <w:marTop w:val="0"/>
          <w:marBottom w:val="0"/>
          <w:divBdr>
            <w:top w:val="none" w:sz="0" w:space="0" w:color="auto"/>
            <w:left w:val="none" w:sz="0" w:space="0" w:color="auto"/>
            <w:bottom w:val="none" w:sz="0" w:space="0" w:color="auto"/>
            <w:right w:val="none" w:sz="0" w:space="0" w:color="auto"/>
          </w:divBdr>
        </w:div>
        <w:div w:id="917447598">
          <w:marLeft w:val="0"/>
          <w:marRight w:val="0"/>
          <w:marTop w:val="0"/>
          <w:marBottom w:val="0"/>
          <w:divBdr>
            <w:top w:val="none" w:sz="0" w:space="0" w:color="auto"/>
            <w:left w:val="none" w:sz="0" w:space="0" w:color="auto"/>
            <w:bottom w:val="none" w:sz="0" w:space="0" w:color="auto"/>
            <w:right w:val="none" w:sz="0" w:space="0" w:color="auto"/>
          </w:divBdr>
        </w:div>
        <w:div w:id="1818498620">
          <w:marLeft w:val="0"/>
          <w:marRight w:val="0"/>
          <w:marTop w:val="0"/>
          <w:marBottom w:val="0"/>
          <w:divBdr>
            <w:top w:val="none" w:sz="0" w:space="0" w:color="auto"/>
            <w:left w:val="none" w:sz="0" w:space="0" w:color="auto"/>
            <w:bottom w:val="none" w:sz="0" w:space="0" w:color="auto"/>
            <w:right w:val="none" w:sz="0" w:space="0" w:color="auto"/>
          </w:divBdr>
        </w:div>
        <w:div w:id="247233724">
          <w:marLeft w:val="0"/>
          <w:marRight w:val="0"/>
          <w:marTop w:val="0"/>
          <w:marBottom w:val="0"/>
          <w:divBdr>
            <w:top w:val="none" w:sz="0" w:space="0" w:color="auto"/>
            <w:left w:val="none" w:sz="0" w:space="0" w:color="auto"/>
            <w:bottom w:val="none" w:sz="0" w:space="0" w:color="auto"/>
            <w:right w:val="none" w:sz="0" w:space="0" w:color="auto"/>
          </w:divBdr>
        </w:div>
        <w:div w:id="1940791754">
          <w:marLeft w:val="0"/>
          <w:marRight w:val="0"/>
          <w:marTop w:val="0"/>
          <w:marBottom w:val="0"/>
          <w:divBdr>
            <w:top w:val="none" w:sz="0" w:space="0" w:color="auto"/>
            <w:left w:val="none" w:sz="0" w:space="0" w:color="auto"/>
            <w:bottom w:val="none" w:sz="0" w:space="0" w:color="auto"/>
            <w:right w:val="none" w:sz="0" w:space="0" w:color="auto"/>
          </w:divBdr>
        </w:div>
        <w:div w:id="1597515107">
          <w:marLeft w:val="0"/>
          <w:marRight w:val="0"/>
          <w:marTop w:val="0"/>
          <w:marBottom w:val="0"/>
          <w:divBdr>
            <w:top w:val="none" w:sz="0" w:space="0" w:color="auto"/>
            <w:left w:val="none" w:sz="0" w:space="0" w:color="auto"/>
            <w:bottom w:val="none" w:sz="0" w:space="0" w:color="auto"/>
            <w:right w:val="none" w:sz="0" w:space="0" w:color="auto"/>
          </w:divBdr>
        </w:div>
        <w:div w:id="1489059822">
          <w:marLeft w:val="0"/>
          <w:marRight w:val="0"/>
          <w:marTop w:val="0"/>
          <w:marBottom w:val="0"/>
          <w:divBdr>
            <w:top w:val="none" w:sz="0" w:space="0" w:color="auto"/>
            <w:left w:val="none" w:sz="0" w:space="0" w:color="auto"/>
            <w:bottom w:val="none" w:sz="0" w:space="0" w:color="auto"/>
            <w:right w:val="none" w:sz="0" w:space="0" w:color="auto"/>
          </w:divBdr>
        </w:div>
        <w:div w:id="862327117">
          <w:marLeft w:val="0"/>
          <w:marRight w:val="0"/>
          <w:marTop w:val="0"/>
          <w:marBottom w:val="0"/>
          <w:divBdr>
            <w:top w:val="none" w:sz="0" w:space="0" w:color="auto"/>
            <w:left w:val="none" w:sz="0" w:space="0" w:color="auto"/>
            <w:bottom w:val="none" w:sz="0" w:space="0" w:color="auto"/>
            <w:right w:val="none" w:sz="0" w:space="0" w:color="auto"/>
          </w:divBdr>
        </w:div>
        <w:div w:id="1083573534">
          <w:marLeft w:val="0"/>
          <w:marRight w:val="0"/>
          <w:marTop w:val="0"/>
          <w:marBottom w:val="0"/>
          <w:divBdr>
            <w:top w:val="none" w:sz="0" w:space="0" w:color="auto"/>
            <w:left w:val="none" w:sz="0" w:space="0" w:color="auto"/>
            <w:bottom w:val="none" w:sz="0" w:space="0" w:color="auto"/>
            <w:right w:val="none" w:sz="0" w:space="0" w:color="auto"/>
          </w:divBdr>
        </w:div>
        <w:div w:id="1192955097">
          <w:marLeft w:val="0"/>
          <w:marRight w:val="0"/>
          <w:marTop w:val="0"/>
          <w:marBottom w:val="0"/>
          <w:divBdr>
            <w:top w:val="none" w:sz="0" w:space="0" w:color="auto"/>
            <w:left w:val="none" w:sz="0" w:space="0" w:color="auto"/>
            <w:bottom w:val="none" w:sz="0" w:space="0" w:color="auto"/>
            <w:right w:val="none" w:sz="0" w:space="0" w:color="auto"/>
          </w:divBdr>
        </w:div>
        <w:div w:id="1841312324">
          <w:marLeft w:val="0"/>
          <w:marRight w:val="0"/>
          <w:marTop w:val="0"/>
          <w:marBottom w:val="0"/>
          <w:divBdr>
            <w:top w:val="none" w:sz="0" w:space="0" w:color="auto"/>
            <w:left w:val="none" w:sz="0" w:space="0" w:color="auto"/>
            <w:bottom w:val="none" w:sz="0" w:space="0" w:color="auto"/>
            <w:right w:val="none" w:sz="0" w:space="0" w:color="auto"/>
          </w:divBdr>
        </w:div>
        <w:div w:id="1958485022">
          <w:marLeft w:val="0"/>
          <w:marRight w:val="0"/>
          <w:marTop w:val="0"/>
          <w:marBottom w:val="0"/>
          <w:divBdr>
            <w:top w:val="none" w:sz="0" w:space="0" w:color="auto"/>
            <w:left w:val="none" w:sz="0" w:space="0" w:color="auto"/>
            <w:bottom w:val="none" w:sz="0" w:space="0" w:color="auto"/>
            <w:right w:val="none" w:sz="0" w:space="0" w:color="auto"/>
          </w:divBdr>
        </w:div>
        <w:div w:id="1111364480">
          <w:marLeft w:val="0"/>
          <w:marRight w:val="0"/>
          <w:marTop w:val="0"/>
          <w:marBottom w:val="0"/>
          <w:divBdr>
            <w:top w:val="none" w:sz="0" w:space="0" w:color="auto"/>
            <w:left w:val="none" w:sz="0" w:space="0" w:color="auto"/>
            <w:bottom w:val="none" w:sz="0" w:space="0" w:color="auto"/>
            <w:right w:val="none" w:sz="0" w:space="0" w:color="auto"/>
          </w:divBdr>
        </w:div>
        <w:div w:id="651251437">
          <w:marLeft w:val="0"/>
          <w:marRight w:val="0"/>
          <w:marTop w:val="0"/>
          <w:marBottom w:val="0"/>
          <w:divBdr>
            <w:top w:val="none" w:sz="0" w:space="0" w:color="auto"/>
            <w:left w:val="none" w:sz="0" w:space="0" w:color="auto"/>
            <w:bottom w:val="none" w:sz="0" w:space="0" w:color="auto"/>
            <w:right w:val="none" w:sz="0" w:space="0" w:color="auto"/>
          </w:divBdr>
        </w:div>
        <w:div w:id="2059087754">
          <w:marLeft w:val="0"/>
          <w:marRight w:val="0"/>
          <w:marTop w:val="0"/>
          <w:marBottom w:val="0"/>
          <w:divBdr>
            <w:top w:val="none" w:sz="0" w:space="0" w:color="auto"/>
            <w:left w:val="none" w:sz="0" w:space="0" w:color="auto"/>
            <w:bottom w:val="none" w:sz="0" w:space="0" w:color="auto"/>
            <w:right w:val="none" w:sz="0" w:space="0" w:color="auto"/>
          </w:divBdr>
        </w:div>
        <w:div w:id="1186940935">
          <w:marLeft w:val="0"/>
          <w:marRight w:val="0"/>
          <w:marTop w:val="0"/>
          <w:marBottom w:val="0"/>
          <w:divBdr>
            <w:top w:val="none" w:sz="0" w:space="0" w:color="auto"/>
            <w:left w:val="none" w:sz="0" w:space="0" w:color="auto"/>
            <w:bottom w:val="none" w:sz="0" w:space="0" w:color="auto"/>
            <w:right w:val="none" w:sz="0" w:space="0" w:color="auto"/>
          </w:divBdr>
        </w:div>
        <w:div w:id="1305693516">
          <w:marLeft w:val="0"/>
          <w:marRight w:val="0"/>
          <w:marTop w:val="0"/>
          <w:marBottom w:val="0"/>
          <w:divBdr>
            <w:top w:val="none" w:sz="0" w:space="0" w:color="auto"/>
            <w:left w:val="none" w:sz="0" w:space="0" w:color="auto"/>
            <w:bottom w:val="none" w:sz="0" w:space="0" w:color="auto"/>
            <w:right w:val="none" w:sz="0" w:space="0" w:color="auto"/>
          </w:divBdr>
        </w:div>
        <w:div w:id="209003775">
          <w:marLeft w:val="0"/>
          <w:marRight w:val="0"/>
          <w:marTop w:val="0"/>
          <w:marBottom w:val="0"/>
          <w:divBdr>
            <w:top w:val="none" w:sz="0" w:space="0" w:color="auto"/>
            <w:left w:val="none" w:sz="0" w:space="0" w:color="auto"/>
            <w:bottom w:val="none" w:sz="0" w:space="0" w:color="auto"/>
            <w:right w:val="none" w:sz="0" w:space="0" w:color="auto"/>
          </w:divBdr>
        </w:div>
        <w:div w:id="1531796459">
          <w:marLeft w:val="0"/>
          <w:marRight w:val="0"/>
          <w:marTop w:val="0"/>
          <w:marBottom w:val="0"/>
          <w:divBdr>
            <w:top w:val="none" w:sz="0" w:space="0" w:color="auto"/>
            <w:left w:val="none" w:sz="0" w:space="0" w:color="auto"/>
            <w:bottom w:val="none" w:sz="0" w:space="0" w:color="auto"/>
            <w:right w:val="none" w:sz="0" w:space="0" w:color="auto"/>
          </w:divBdr>
        </w:div>
        <w:div w:id="1627662289">
          <w:marLeft w:val="0"/>
          <w:marRight w:val="0"/>
          <w:marTop w:val="0"/>
          <w:marBottom w:val="0"/>
          <w:divBdr>
            <w:top w:val="none" w:sz="0" w:space="0" w:color="auto"/>
            <w:left w:val="none" w:sz="0" w:space="0" w:color="auto"/>
            <w:bottom w:val="none" w:sz="0" w:space="0" w:color="auto"/>
            <w:right w:val="none" w:sz="0" w:space="0" w:color="auto"/>
          </w:divBdr>
        </w:div>
        <w:div w:id="513426191">
          <w:marLeft w:val="0"/>
          <w:marRight w:val="0"/>
          <w:marTop w:val="0"/>
          <w:marBottom w:val="0"/>
          <w:divBdr>
            <w:top w:val="none" w:sz="0" w:space="0" w:color="auto"/>
            <w:left w:val="none" w:sz="0" w:space="0" w:color="auto"/>
            <w:bottom w:val="none" w:sz="0" w:space="0" w:color="auto"/>
            <w:right w:val="none" w:sz="0" w:space="0" w:color="auto"/>
          </w:divBdr>
        </w:div>
        <w:div w:id="1153789660">
          <w:marLeft w:val="0"/>
          <w:marRight w:val="0"/>
          <w:marTop w:val="0"/>
          <w:marBottom w:val="0"/>
          <w:divBdr>
            <w:top w:val="none" w:sz="0" w:space="0" w:color="auto"/>
            <w:left w:val="none" w:sz="0" w:space="0" w:color="auto"/>
            <w:bottom w:val="none" w:sz="0" w:space="0" w:color="auto"/>
            <w:right w:val="none" w:sz="0" w:space="0" w:color="auto"/>
          </w:divBdr>
        </w:div>
        <w:div w:id="213127274">
          <w:marLeft w:val="0"/>
          <w:marRight w:val="0"/>
          <w:marTop w:val="0"/>
          <w:marBottom w:val="0"/>
          <w:divBdr>
            <w:top w:val="none" w:sz="0" w:space="0" w:color="auto"/>
            <w:left w:val="none" w:sz="0" w:space="0" w:color="auto"/>
            <w:bottom w:val="none" w:sz="0" w:space="0" w:color="auto"/>
            <w:right w:val="none" w:sz="0" w:space="0" w:color="auto"/>
          </w:divBdr>
        </w:div>
        <w:div w:id="1043216123">
          <w:marLeft w:val="0"/>
          <w:marRight w:val="0"/>
          <w:marTop w:val="0"/>
          <w:marBottom w:val="0"/>
          <w:divBdr>
            <w:top w:val="none" w:sz="0" w:space="0" w:color="auto"/>
            <w:left w:val="none" w:sz="0" w:space="0" w:color="auto"/>
            <w:bottom w:val="none" w:sz="0" w:space="0" w:color="auto"/>
            <w:right w:val="none" w:sz="0" w:space="0" w:color="auto"/>
          </w:divBdr>
        </w:div>
        <w:div w:id="1135948937">
          <w:marLeft w:val="0"/>
          <w:marRight w:val="0"/>
          <w:marTop w:val="0"/>
          <w:marBottom w:val="0"/>
          <w:divBdr>
            <w:top w:val="none" w:sz="0" w:space="0" w:color="auto"/>
            <w:left w:val="none" w:sz="0" w:space="0" w:color="auto"/>
            <w:bottom w:val="none" w:sz="0" w:space="0" w:color="auto"/>
            <w:right w:val="none" w:sz="0" w:space="0" w:color="auto"/>
          </w:divBdr>
        </w:div>
        <w:div w:id="160197340">
          <w:marLeft w:val="0"/>
          <w:marRight w:val="0"/>
          <w:marTop w:val="0"/>
          <w:marBottom w:val="0"/>
          <w:divBdr>
            <w:top w:val="none" w:sz="0" w:space="0" w:color="auto"/>
            <w:left w:val="none" w:sz="0" w:space="0" w:color="auto"/>
            <w:bottom w:val="none" w:sz="0" w:space="0" w:color="auto"/>
            <w:right w:val="none" w:sz="0" w:space="0" w:color="auto"/>
          </w:divBdr>
        </w:div>
        <w:div w:id="690034467">
          <w:marLeft w:val="0"/>
          <w:marRight w:val="0"/>
          <w:marTop w:val="0"/>
          <w:marBottom w:val="0"/>
          <w:divBdr>
            <w:top w:val="none" w:sz="0" w:space="0" w:color="auto"/>
            <w:left w:val="none" w:sz="0" w:space="0" w:color="auto"/>
            <w:bottom w:val="none" w:sz="0" w:space="0" w:color="auto"/>
            <w:right w:val="none" w:sz="0" w:space="0" w:color="auto"/>
          </w:divBdr>
        </w:div>
        <w:div w:id="842475386">
          <w:marLeft w:val="0"/>
          <w:marRight w:val="0"/>
          <w:marTop w:val="0"/>
          <w:marBottom w:val="0"/>
          <w:divBdr>
            <w:top w:val="none" w:sz="0" w:space="0" w:color="auto"/>
            <w:left w:val="none" w:sz="0" w:space="0" w:color="auto"/>
            <w:bottom w:val="none" w:sz="0" w:space="0" w:color="auto"/>
            <w:right w:val="none" w:sz="0" w:space="0" w:color="auto"/>
          </w:divBdr>
        </w:div>
        <w:div w:id="30765674">
          <w:marLeft w:val="0"/>
          <w:marRight w:val="0"/>
          <w:marTop w:val="0"/>
          <w:marBottom w:val="0"/>
          <w:divBdr>
            <w:top w:val="none" w:sz="0" w:space="0" w:color="auto"/>
            <w:left w:val="none" w:sz="0" w:space="0" w:color="auto"/>
            <w:bottom w:val="none" w:sz="0" w:space="0" w:color="auto"/>
            <w:right w:val="none" w:sz="0" w:space="0" w:color="auto"/>
          </w:divBdr>
        </w:div>
      </w:divsChild>
    </w:div>
    <w:div w:id="497379881">
      <w:bodyDiv w:val="1"/>
      <w:marLeft w:val="0"/>
      <w:marRight w:val="0"/>
      <w:marTop w:val="0"/>
      <w:marBottom w:val="0"/>
      <w:divBdr>
        <w:top w:val="none" w:sz="0" w:space="0" w:color="auto"/>
        <w:left w:val="none" w:sz="0" w:space="0" w:color="auto"/>
        <w:bottom w:val="none" w:sz="0" w:space="0" w:color="auto"/>
        <w:right w:val="none" w:sz="0" w:space="0" w:color="auto"/>
      </w:divBdr>
      <w:divsChild>
        <w:div w:id="63182086">
          <w:marLeft w:val="0"/>
          <w:marRight w:val="0"/>
          <w:marTop w:val="0"/>
          <w:marBottom w:val="0"/>
          <w:divBdr>
            <w:top w:val="none" w:sz="0" w:space="0" w:color="auto"/>
            <w:left w:val="none" w:sz="0" w:space="0" w:color="auto"/>
            <w:bottom w:val="none" w:sz="0" w:space="0" w:color="auto"/>
            <w:right w:val="none" w:sz="0" w:space="0" w:color="auto"/>
          </w:divBdr>
        </w:div>
        <w:div w:id="279722218">
          <w:marLeft w:val="0"/>
          <w:marRight w:val="0"/>
          <w:marTop w:val="0"/>
          <w:marBottom w:val="0"/>
          <w:divBdr>
            <w:top w:val="none" w:sz="0" w:space="0" w:color="auto"/>
            <w:left w:val="none" w:sz="0" w:space="0" w:color="auto"/>
            <w:bottom w:val="none" w:sz="0" w:space="0" w:color="auto"/>
            <w:right w:val="none" w:sz="0" w:space="0" w:color="auto"/>
          </w:divBdr>
        </w:div>
        <w:div w:id="151675866">
          <w:marLeft w:val="0"/>
          <w:marRight w:val="0"/>
          <w:marTop w:val="0"/>
          <w:marBottom w:val="0"/>
          <w:divBdr>
            <w:top w:val="none" w:sz="0" w:space="0" w:color="auto"/>
            <w:left w:val="none" w:sz="0" w:space="0" w:color="auto"/>
            <w:bottom w:val="none" w:sz="0" w:space="0" w:color="auto"/>
            <w:right w:val="none" w:sz="0" w:space="0" w:color="auto"/>
          </w:divBdr>
        </w:div>
        <w:div w:id="1047680264">
          <w:marLeft w:val="0"/>
          <w:marRight w:val="0"/>
          <w:marTop w:val="0"/>
          <w:marBottom w:val="0"/>
          <w:divBdr>
            <w:top w:val="none" w:sz="0" w:space="0" w:color="auto"/>
            <w:left w:val="none" w:sz="0" w:space="0" w:color="auto"/>
            <w:bottom w:val="none" w:sz="0" w:space="0" w:color="auto"/>
            <w:right w:val="none" w:sz="0" w:space="0" w:color="auto"/>
          </w:divBdr>
        </w:div>
        <w:div w:id="1017579748">
          <w:marLeft w:val="0"/>
          <w:marRight w:val="0"/>
          <w:marTop w:val="0"/>
          <w:marBottom w:val="0"/>
          <w:divBdr>
            <w:top w:val="none" w:sz="0" w:space="0" w:color="auto"/>
            <w:left w:val="none" w:sz="0" w:space="0" w:color="auto"/>
            <w:bottom w:val="none" w:sz="0" w:space="0" w:color="auto"/>
            <w:right w:val="none" w:sz="0" w:space="0" w:color="auto"/>
          </w:divBdr>
        </w:div>
        <w:div w:id="641538313">
          <w:marLeft w:val="0"/>
          <w:marRight w:val="0"/>
          <w:marTop w:val="0"/>
          <w:marBottom w:val="0"/>
          <w:divBdr>
            <w:top w:val="none" w:sz="0" w:space="0" w:color="auto"/>
            <w:left w:val="none" w:sz="0" w:space="0" w:color="auto"/>
            <w:bottom w:val="none" w:sz="0" w:space="0" w:color="auto"/>
            <w:right w:val="none" w:sz="0" w:space="0" w:color="auto"/>
          </w:divBdr>
        </w:div>
        <w:div w:id="2064214037">
          <w:marLeft w:val="0"/>
          <w:marRight w:val="0"/>
          <w:marTop w:val="0"/>
          <w:marBottom w:val="0"/>
          <w:divBdr>
            <w:top w:val="none" w:sz="0" w:space="0" w:color="auto"/>
            <w:left w:val="none" w:sz="0" w:space="0" w:color="auto"/>
            <w:bottom w:val="none" w:sz="0" w:space="0" w:color="auto"/>
            <w:right w:val="none" w:sz="0" w:space="0" w:color="auto"/>
          </w:divBdr>
        </w:div>
        <w:div w:id="618026228">
          <w:marLeft w:val="0"/>
          <w:marRight w:val="0"/>
          <w:marTop w:val="0"/>
          <w:marBottom w:val="0"/>
          <w:divBdr>
            <w:top w:val="none" w:sz="0" w:space="0" w:color="auto"/>
            <w:left w:val="none" w:sz="0" w:space="0" w:color="auto"/>
            <w:bottom w:val="none" w:sz="0" w:space="0" w:color="auto"/>
            <w:right w:val="none" w:sz="0" w:space="0" w:color="auto"/>
          </w:divBdr>
        </w:div>
        <w:div w:id="627396336">
          <w:marLeft w:val="0"/>
          <w:marRight w:val="0"/>
          <w:marTop w:val="0"/>
          <w:marBottom w:val="0"/>
          <w:divBdr>
            <w:top w:val="none" w:sz="0" w:space="0" w:color="auto"/>
            <w:left w:val="none" w:sz="0" w:space="0" w:color="auto"/>
            <w:bottom w:val="none" w:sz="0" w:space="0" w:color="auto"/>
            <w:right w:val="none" w:sz="0" w:space="0" w:color="auto"/>
          </w:divBdr>
        </w:div>
        <w:div w:id="1515875978">
          <w:marLeft w:val="0"/>
          <w:marRight w:val="0"/>
          <w:marTop w:val="0"/>
          <w:marBottom w:val="0"/>
          <w:divBdr>
            <w:top w:val="none" w:sz="0" w:space="0" w:color="auto"/>
            <w:left w:val="none" w:sz="0" w:space="0" w:color="auto"/>
            <w:bottom w:val="none" w:sz="0" w:space="0" w:color="auto"/>
            <w:right w:val="none" w:sz="0" w:space="0" w:color="auto"/>
          </w:divBdr>
        </w:div>
        <w:div w:id="1298681395">
          <w:marLeft w:val="0"/>
          <w:marRight w:val="0"/>
          <w:marTop w:val="0"/>
          <w:marBottom w:val="0"/>
          <w:divBdr>
            <w:top w:val="none" w:sz="0" w:space="0" w:color="auto"/>
            <w:left w:val="none" w:sz="0" w:space="0" w:color="auto"/>
            <w:bottom w:val="none" w:sz="0" w:space="0" w:color="auto"/>
            <w:right w:val="none" w:sz="0" w:space="0" w:color="auto"/>
          </w:divBdr>
        </w:div>
        <w:div w:id="283539448">
          <w:marLeft w:val="0"/>
          <w:marRight w:val="0"/>
          <w:marTop w:val="0"/>
          <w:marBottom w:val="0"/>
          <w:divBdr>
            <w:top w:val="none" w:sz="0" w:space="0" w:color="auto"/>
            <w:left w:val="none" w:sz="0" w:space="0" w:color="auto"/>
            <w:bottom w:val="none" w:sz="0" w:space="0" w:color="auto"/>
            <w:right w:val="none" w:sz="0" w:space="0" w:color="auto"/>
          </w:divBdr>
        </w:div>
      </w:divsChild>
    </w:div>
    <w:div w:id="553589398">
      <w:bodyDiv w:val="1"/>
      <w:marLeft w:val="0"/>
      <w:marRight w:val="0"/>
      <w:marTop w:val="0"/>
      <w:marBottom w:val="0"/>
      <w:divBdr>
        <w:top w:val="none" w:sz="0" w:space="0" w:color="auto"/>
        <w:left w:val="none" w:sz="0" w:space="0" w:color="auto"/>
        <w:bottom w:val="none" w:sz="0" w:space="0" w:color="auto"/>
        <w:right w:val="none" w:sz="0" w:space="0" w:color="auto"/>
      </w:divBdr>
    </w:div>
    <w:div w:id="586428969">
      <w:bodyDiv w:val="1"/>
      <w:marLeft w:val="0"/>
      <w:marRight w:val="0"/>
      <w:marTop w:val="0"/>
      <w:marBottom w:val="0"/>
      <w:divBdr>
        <w:top w:val="none" w:sz="0" w:space="0" w:color="auto"/>
        <w:left w:val="none" w:sz="0" w:space="0" w:color="auto"/>
        <w:bottom w:val="none" w:sz="0" w:space="0" w:color="auto"/>
        <w:right w:val="none" w:sz="0" w:space="0" w:color="auto"/>
      </w:divBdr>
      <w:divsChild>
        <w:div w:id="14505326">
          <w:marLeft w:val="0"/>
          <w:marRight w:val="0"/>
          <w:marTop w:val="0"/>
          <w:marBottom w:val="0"/>
          <w:divBdr>
            <w:top w:val="none" w:sz="0" w:space="0" w:color="auto"/>
            <w:left w:val="none" w:sz="0" w:space="0" w:color="auto"/>
            <w:bottom w:val="none" w:sz="0" w:space="0" w:color="auto"/>
            <w:right w:val="none" w:sz="0" w:space="0" w:color="auto"/>
          </w:divBdr>
        </w:div>
        <w:div w:id="247426177">
          <w:marLeft w:val="0"/>
          <w:marRight w:val="0"/>
          <w:marTop w:val="0"/>
          <w:marBottom w:val="0"/>
          <w:divBdr>
            <w:top w:val="none" w:sz="0" w:space="0" w:color="auto"/>
            <w:left w:val="none" w:sz="0" w:space="0" w:color="auto"/>
            <w:bottom w:val="none" w:sz="0" w:space="0" w:color="auto"/>
            <w:right w:val="none" w:sz="0" w:space="0" w:color="auto"/>
          </w:divBdr>
        </w:div>
        <w:div w:id="882909748">
          <w:marLeft w:val="0"/>
          <w:marRight w:val="0"/>
          <w:marTop w:val="0"/>
          <w:marBottom w:val="0"/>
          <w:divBdr>
            <w:top w:val="none" w:sz="0" w:space="0" w:color="auto"/>
            <w:left w:val="none" w:sz="0" w:space="0" w:color="auto"/>
            <w:bottom w:val="none" w:sz="0" w:space="0" w:color="auto"/>
            <w:right w:val="none" w:sz="0" w:space="0" w:color="auto"/>
          </w:divBdr>
        </w:div>
        <w:div w:id="1103456716">
          <w:marLeft w:val="0"/>
          <w:marRight w:val="0"/>
          <w:marTop w:val="0"/>
          <w:marBottom w:val="0"/>
          <w:divBdr>
            <w:top w:val="none" w:sz="0" w:space="0" w:color="auto"/>
            <w:left w:val="none" w:sz="0" w:space="0" w:color="auto"/>
            <w:bottom w:val="none" w:sz="0" w:space="0" w:color="auto"/>
            <w:right w:val="none" w:sz="0" w:space="0" w:color="auto"/>
          </w:divBdr>
        </w:div>
        <w:div w:id="1529181891">
          <w:marLeft w:val="0"/>
          <w:marRight w:val="0"/>
          <w:marTop w:val="0"/>
          <w:marBottom w:val="0"/>
          <w:divBdr>
            <w:top w:val="none" w:sz="0" w:space="0" w:color="auto"/>
            <w:left w:val="none" w:sz="0" w:space="0" w:color="auto"/>
            <w:bottom w:val="none" w:sz="0" w:space="0" w:color="auto"/>
            <w:right w:val="none" w:sz="0" w:space="0" w:color="auto"/>
          </w:divBdr>
        </w:div>
        <w:div w:id="844787520">
          <w:marLeft w:val="0"/>
          <w:marRight w:val="0"/>
          <w:marTop w:val="0"/>
          <w:marBottom w:val="0"/>
          <w:divBdr>
            <w:top w:val="none" w:sz="0" w:space="0" w:color="auto"/>
            <w:left w:val="none" w:sz="0" w:space="0" w:color="auto"/>
            <w:bottom w:val="none" w:sz="0" w:space="0" w:color="auto"/>
            <w:right w:val="none" w:sz="0" w:space="0" w:color="auto"/>
          </w:divBdr>
        </w:div>
      </w:divsChild>
    </w:div>
    <w:div w:id="704060360">
      <w:bodyDiv w:val="1"/>
      <w:marLeft w:val="0"/>
      <w:marRight w:val="0"/>
      <w:marTop w:val="0"/>
      <w:marBottom w:val="0"/>
      <w:divBdr>
        <w:top w:val="none" w:sz="0" w:space="0" w:color="auto"/>
        <w:left w:val="none" w:sz="0" w:space="0" w:color="auto"/>
        <w:bottom w:val="none" w:sz="0" w:space="0" w:color="auto"/>
        <w:right w:val="none" w:sz="0" w:space="0" w:color="auto"/>
      </w:divBdr>
      <w:divsChild>
        <w:div w:id="26175783">
          <w:marLeft w:val="0"/>
          <w:marRight w:val="0"/>
          <w:marTop w:val="0"/>
          <w:marBottom w:val="0"/>
          <w:divBdr>
            <w:top w:val="none" w:sz="0" w:space="0" w:color="auto"/>
            <w:left w:val="none" w:sz="0" w:space="0" w:color="auto"/>
            <w:bottom w:val="none" w:sz="0" w:space="0" w:color="auto"/>
            <w:right w:val="none" w:sz="0" w:space="0" w:color="auto"/>
          </w:divBdr>
        </w:div>
        <w:div w:id="598101501">
          <w:marLeft w:val="0"/>
          <w:marRight w:val="0"/>
          <w:marTop w:val="0"/>
          <w:marBottom w:val="0"/>
          <w:divBdr>
            <w:top w:val="none" w:sz="0" w:space="0" w:color="auto"/>
            <w:left w:val="none" w:sz="0" w:space="0" w:color="auto"/>
            <w:bottom w:val="none" w:sz="0" w:space="0" w:color="auto"/>
            <w:right w:val="none" w:sz="0" w:space="0" w:color="auto"/>
          </w:divBdr>
        </w:div>
        <w:div w:id="144128441">
          <w:marLeft w:val="0"/>
          <w:marRight w:val="0"/>
          <w:marTop w:val="0"/>
          <w:marBottom w:val="0"/>
          <w:divBdr>
            <w:top w:val="none" w:sz="0" w:space="0" w:color="auto"/>
            <w:left w:val="none" w:sz="0" w:space="0" w:color="auto"/>
            <w:bottom w:val="none" w:sz="0" w:space="0" w:color="auto"/>
            <w:right w:val="none" w:sz="0" w:space="0" w:color="auto"/>
          </w:divBdr>
        </w:div>
        <w:div w:id="443622309">
          <w:marLeft w:val="0"/>
          <w:marRight w:val="0"/>
          <w:marTop w:val="0"/>
          <w:marBottom w:val="0"/>
          <w:divBdr>
            <w:top w:val="none" w:sz="0" w:space="0" w:color="auto"/>
            <w:left w:val="none" w:sz="0" w:space="0" w:color="auto"/>
            <w:bottom w:val="none" w:sz="0" w:space="0" w:color="auto"/>
            <w:right w:val="none" w:sz="0" w:space="0" w:color="auto"/>
          </w:divBdr>
        </w:div>
        <w:div w:id="317270433">
          <w:marLeft w:val="0"/>
          <w:marRight w:val="0"/>
          <w:marTop w:val="0"/>
          <w:marBottom w:val="0"/>
          <w:divBdr>
            <w:top w:val="none" w:sz="0" w:space="0" w:color="auto"/>
            <w:left w:val="none" w:sz="0" w:space="0" w:color="auto"/>
            <w:bottom w:val="none" w:sz="0" w:space="0" w:color="auto"/>
            <w:right w:val="none" w:sz="0" w:space="0" w:color="auto"/>
          </w:divBdr>
        </w:div>
        <w:div w:id="197360325">
          <w:marLeft w:val="0"/>
          <w:marRight w:val="0"/>
          <w:marTop w:val="0"/>
          <w:marBottom w:val="0"/>
          <w:divBdr>
            <w:top w:val="none" w:sz="0" w:space="0" w:color="auto"/>
            <w:left w:val="none" w:sz="0" w:space="0" w:color="auto"/>
            <w:bottom w:val="none" w:sz="0" w:space="0" w:color="auto"/>
            <w:right w:val="none" w:sz="0" w:space="0" w:color="auto"/>
          </w:divBdr>
        </w:div>
        <w:div w:id="346755868">
          <w:marLeft w:val="0"/>
          <w:marRight w:val="0"/>
          <w:marTop w:val="0"/>
          <w:marBottom w:val="0"/>
          <w:divBdr>
            <w:top w:val="none" w:sz="0" w:space="0" w:color="auto"/>
            <w:left w:val="none" w:sz="0" w:space="0" w:color="auto"/>
            <w:bottom w:val="none" w:sz="0" w:space="0" w:color="auto"/>
            <w:right w:val="none" w:sz="0" w:space="0" w:color="auto"/>
          </w:divBdr>
        </w:div>
        <w:div w:id="531845120">
          <w:marLeft w:val="0"/>
          <w:marRight w:val="0"/>
          <w:marTop w:val="0"/>
          <w:marBottom w:val="0"/>
          <w:divBdr>
            <w:top w:val="none" w:sz="0" w:space="0" w:color="auto"/>
            <w:left w:val="none" w:sz="0" w:space="0" w:color="auto"/>
            <w:bottom w:val="none" w:sz="0" w:space="0" w:color="auto"/>
            <w:right w:val="none" w:sz="0" w:space="0" w:color="auto"/>
          </w:divBdr>
        </w:div>
        <w:div w:id="706837536">
          <w:marLeft w:val="0"/>
          <w:marRight w:val="0"/>
          <w:marTop w:val="0"/>
          <w:marBottom w:val="0"/>
          <w:divBdr>
            <w:top w:val="none" w:sz="0" w:space="0" w:color="auto"/>
            <w:left w:val="none" w:sz="0" w:space="0" w:color="auto"/>
            <w:bottom w:val="none" w:sz="0" w:space="0" w:color="auto"/>
            <w:right w:val="none" w:sz="0" w:space="0" w:color="auto"/>
          </w:divBdr>
        </w:div>
        <w:div w:id="1952395083">
          <w:marLeft w:val="0"/>
          <w:marRight w:val="0"/>
          <w:marTop w:val="0"/>
          <w:marBottom w:val="0"/>
          <w:divBdr>
            <w:top w:val="none" w:sz="0" w:space="0" w:color="auto"/>
            <w:left w:val="none" w:sz="0" w:space="0" w:color="auto"/>
            <w:bottom w:val="none" w:sz="0" w:space="0" w:color="auto"/>
            <w:right w:val="none" w:sz="0" w:space="0" w:color="auto"/>
          </w:divBdr>
        </w:div>
        <w:div w:id="1850633323">
          <w:marLeft w:val="0"/>
          <w:marRight w:val="0"/>
          <w:marTop w:val="0"/>
          <w:marBottom w:val="0"/>
          <w:divBdr>
            <w:top w:val="none" w:sz="0" w:space="0" w:color="auto"/>
            <w:left w:val="none" w:sz="0" w:space="0" w:color="auto"/>
            <w:bottom w:val="none" w:sz="0" w:space="0" w:color="auto"/>
            <w:right w:val="none" w:sz="0" w:space="0" w:color="auto"/>
          </w:divBdr>
        </w:div>
        <w:div w:id="1712530527">
          <w:marLeft w:val="0"/>
          <w:marRight w:val="0"/>
          <w:marTop w:val="0"/>
          <w:marBottom w:val="0"/>
          <w:divBdr>
            <w:top w:val="none" w:sz="0" w:space="0" w:color="auto"/>
            <w:left w:val="none" w:sz="0" w:space="0" w:color="auto"/>
            <w:bottom w:val="none" w:sz="0" w:space="0" w:color="auto"/>
            <w:right w:val="none" w:sz="0" w:space="0" w:color="auto"/>
          </w:divBdr>
        </w:div>
        <w:div w:id="1561358593">
          <w:marLeft w:val="0"/>
          <w:marRight w:val="0"/>
          <w:marTop w:val="0"/>
          <w:marBottom w:val="0"/>
          <w:divBdr>
            <w:top w:val="none" w:sz="0" w:space="0" w:color="auto"/>
            <w:left w:val="none" w:sz="0" w:space="0" w:color="auto"/>
            <w:bottom w:val="none" w:sz="0" w:space="0" w:color="auto"/>
            <w:right w:val="none" w:sz="0" w:space="0" w:color="auto"/>
          </w:divBdr>
        </w:div>
        <w:div w:id="1876379684">
          <w:marLeft w:val="0"/>
          <w:marRight w:val="0"/>
          <w:marTop w:val="0"/>
          <w:marBottom w:val="0"/>
          <w:divBdr>
            <w:top w:val="none" w:sz="0" w:space="0" w:color="auto"/>
            <w:left w:val="none" w:sz="0" w:space="0" w:color="auto"/>
            <w:bottom w:val="none" w:sz="0" w:space="0" w:color="auto"/>
            <w:right w:val="none" w:sz="0" w:space="0" w:color="auto"/>
          </w:divBdr>
        </w:div>
        <w:div w:id="426736933">
          <w:marLeft w:val="0"/>
          <w:marRight w:val="0"/>
          <w:marTop w:val="0"/>
          <w:marBottom w:val="0"/>
          <w:divBdr>
            <w:top w:val="none" w:sz="0" w:space="0" w:color="auto"/>
            <w:left w:val="none" w:sz="0" w:space="0" w:color="auto"/>
            <w:bottom w:val="none" w:sz="0" w:space="0" w:color="auto"/>
            <w:right w:val="none" w:sz="0" w:space="0" w:color="auto"/>
          </w:divBdr>
        </w:div>
        <w:div w:id="506335754">
          <w:marLeft w:val="0"/>
          <w:marRight w:val="0"/>
          <w:marTop w:val="0"/>
          <w:marBottom w:val="0"/>
          <w:divBdr>
            <w:top w:val="none" w:sz="0" w:space="0" w:color="auto"/>
            <w:left w:val="none" w:sz="0" w:space="0" w:color="auto"/>
            <w:bottom w:val="none" w:sz="0" w:space="0" w:color="auto"/>
            <w:right w:val="none" w:sz="0" w:space="0" w:color="auto"/>
          </w:divBdr>
        </w:div>
        <w:div w:id="698241841">
          <w:marLeft w:val="0"/>
          <w:marRight w:val="0"/>
          <w:marTop w:val="0"/>
          <w:marBottom w:val="0"/>
          <w:divBdr>
            <w:top w:val="none" w:sz="0" w:space="0" w:color="auto"/>
            <w:left w:val="none" w:sz="0" w:space="0" w:color="auto"/>
            <w:bottom w:val="none" w:sz="0" w:space="0" w:color="auto"/>
            <w:right w:val="none" w:sz="0" w:space="0" w:color="auto"/>
          </w:divBdr>
        </w:div>
        <w:div w:id="663898808">
          <w:marLeft w:val="0"/>
          <w:marRight w:val="0"/>
          <w:marTop w:val="0"/>
          <w:marBottom w:val="0"/>
          <w:divBdr>
            <w:top w:val="none" w:sz="0" w:space="0" w:color="auto"/>
            <w:left w:val="none" w:sz="0" w:space="0" w:color="auto"/>
            <w:bottom w:val="none" w:sz="0" w:space="0" w:color="auto"/>
            <w:right w:val="none" w:sz="0" w:space="0" w:color="auto"/>
          </w:divBdr>
        </w:div>
        <w:div w:id="549414400">
          <w:marLeft w:val="0"/>
          <w:marRight w:val="0"/>
          <w:marTop w:val="0"/>
          <w:marBottom w:val="0"/>
          <w:divBdr>
            <w:top w:val="none" w:sz="0" w:space="0" w:color="auto"/>
            <w:left w:val="none" w:sz="0" w:space="0" w:color="auto"/>
            <w:bottom w:val="none" w:sz="0" w:space="0" w:color="auto"/>
            <w:right w:val="none" w:sz="0" w:space="0" w:color="auto"/>
          </w:divBdr>
        </w:div>
      </w:divsChild>
    </w:div>
    <w:div w:id="712849125">
      <w:bodyDiv w:val="1"/>
      <w:marLeft w:val="0"/>
      <w:marRight w:val="0"/>
      <w:marTop w:val="0"/>
      <w:marBottom w:val="0"/>
      <w:divBdr>
        <w:top w:val="none" w:sz="0" w:space="0" w:color="auto"/>
        <w:left w:val="none" w:sz="0" w:space="0" w:color="auto"/>
        <w:bottom w:val="none" w:sz="0" w:space="0" w:color="auto"/>
        <w:right w:val="none" w:sz="0" w:space="0" w:color="auto"/>
      </w:divBdr>
      <w:divsChild>
        <w:div w:id="1527325442">
          <w:marLeft w:val="0"/>
          <w:marRight w:val="0"/>
          <w:marTop w:val="0"/>
          <w:marBottom w:val="0"/>
          <w:divBdr>
            <w:top w:val="none" w:sz="0" w:space="0" w:color="auto"/>
            <w:left w:val="none" w:sz="0" w:space="0" w:color="auto"/>
            <w:bottom w:val="none" w:sz="0" w:space="0" w:color="auto"/>
            <w:right w:val="none" w:sz="0" w:space="0" w:color="auto"/>
          </w:divBdr>
        </w:div>
        <w:div w:id="452788457">
          <w:marLeft w:val="0"/>
          <w:marRight w:val="0"/>
          <w:marTop w:val="0"/>
          <w:marBottom w:val="0"/>
          <w:divBdr>
            <w:top w:val="none" w:sz="0" w:space="0" w:color="auto"/>
            <w:left w:val="none" w:sz="0" w:space="0" w:color="auto"/>
            <w:bottom w:val="none" w:sz="0" w:space="0" w:color="auto"/>
            <w:right w:val="none" w:sz="0" w:space="0" w:color="auto"/>
          </w:divBdr>
        </w:div>
        <w:div w:id="2085758844">
          <w:marLeft w:val="0"/>
          <w:marRight w:val="0"/>
          <w:marTop w:val="0"/>
          <w:marBottom w:val="0"/>
          <w:divBdr>
            <w:top w:val="none" w:sz="0" w:space="0" w:color="auto"/>
            <w:left w:val="none" w:sz="0" w:space="0" w:color="auto"/>
            <w:bottom w:val="none" w:sz="0" w:space="0" w:color="auto"/>
            <w:right w:val="none" w:sz="0" w:space="0" w:color="auto"/>
          </w:divBdr>
        </w:div>
        <w:div w:id="1314724768">
          <w:marLeft w:val="0"/>
          <w:marRight w:val="0"/>
          <w:marTop w:val="0"/>
          <w:marBottom w:val="0"/>
          <w:divBdr>
            <w:top w:val="none" w:sz="0" w:space="0" w:color="auto"/>
            <w:left w:val="none" w:sz="0" w:space="0" w:color="auto"/>
            <w:bottom w:val="none" w:sz="0" w:space="0" w:color="auto"/>
            <w:right w:val="none" w:sz="0" w:space="0" w:color="auto"/>
          </w:divBdr>
        </w:div>
        <w:div w:id="1817450843">
          <w:marLeft w:val="0"/>
          <w:marRight w:val="0"/>
          <w:marTop w:val="0"/>
          <w:marBottom w:val="0"/>
          <w:divBdr>
            <w:top w:val="none" w:sz="0" w:space="0" w:color="auto"/>
            <w:left w:val="none" w:sz="0" w:space="0" w:color="auto"/>
            <w:bottom w:val="none" w:sz="0" w:space="0" w:color="auto"/>
            <w:right w:val="none" w:sz="0" w:space="0" w:color="auto"/>
          </w:divBdr>
        </w:div>
        <w:div w:id="1227305688">
          <w:marLeft w:val="0"/>
          <w:marRight w:val="0"/>
          <w:marTop w:val="0"/>
          <w:marBottom w:val="0"/>
          <w:divBdr>
            <w:top w:val="none" w:sz="0" w:space="0" w:color="auto"/>
            <w:left w:val="none" w:sz="0" w:space="0" w:color="auto"/>
            <w:bottom w:val="none" w:sz="0" w:space="0" w:color="auto"/>
            <w:right w:val="none" w:sz="0" w:space="0" w:color="auto"/>
          </w:divBdr>
        </w:div>
        <w:div w:id="298221423">
          <w:marLeft w:val="0"/>
          <w:marRight w:val="0"/>
          <w:marTop w:val="0"/>
          <w:marBottom w:val="0"/>
          <w:divBdr>
            <w:top w:val="none" w:sz="0" w:space="0" w:color="auto"/>
            <w:left w:val="none" w:sz="0" w:space="0" w:color="auto"/>
            <w:bottom w:val="none" w:sz="0" w:space="0" w:color="auto"/>
            <w:right w:val="none" w:sz="0" w:space="0" w:color="auto"/>
          </w:divBdr>
        </w:div>
        <w:div w:id="1645353267">
          <w:marLeft w:val="0"/>
          <w:marRight w:val="0"/>
          <w:marTop w:val="0"/>
          <w:marBottom w:val="0"/>
          <w:divBdr>
            <w:top w:val="none" w:sz="0" w:space="0" w:color="auto"/>
            <w:left w:val="none" w:sz="0" w:space="0" w:color="auto"/>
            <w:bottom w:val="none" w:sz="0" w:space="0" w:color="auto"/>
            <w:right w:val="none" w:sz="0" w:space="0" w:color="auto"/>
          </w:divBdr>
        </w:div>
        <w:div w:id="1289775062">
          <w:marLeft w:val="0"/>
          <w:marRight w:val="0"/>
          <w:marTop w:val="0"/>
          <w:marBottom w:val="0"/>
          <w:divBdr>
            <w:top w:val="none" w:sz="0" w:space="0" w:color="auto"/>
            <w:left w:val="none" w:sz="0" w:space="0" w:color="auto"/>
            <w:bottom w:val="none" w:sz="0" w:space="0" w:color="auto"/>
            <w:right w:val="none" w:sz="0" w:space="0" w:color="auto"/>
          </w:divBdr>
        </w:div>
      </w:divsChild>
    </w:div>
    <w:div w:id="742070190">
      <w:bodyDiv w:val="1"/>
      <w:marLeft w:val="0"/>
      <w:marRight w:val="0"/>
      <w:marTop w:val="0"/>
      <w:marBottom w:val="0"/>
      <w:divBdr>
        <w:top w:val="none" w:sz="0" w:space="0" w:color="auto"/>
        <w:left w:val="none" w:sz="0" w:space="0" w:color="auto"/>
        <w:bottom w:val="none" w:sz="0" w:space="0" w:color="auto"/>
        <w:right w:val="none" w:sz="0" w:space="0" w:color="auto"/>
      </w:divBdr>
    </w:div>
    <w:div w:id="808595101">
      <w:marLeft w:val="0"/>
      <w:marRight w:val="0"/>
      <w:marTop w:val="0"/>
      <w:marBottom w:val="0"/>
      <w:divBdr>
        <w:top w:val="none" w:sz="0" w:space="0" w:color="auto"/>
        <w:left w:val="none" w:sz="0" w:space="0" w:color="auto"/>
        <w:bottom w:val="none" w:sz="0" w:space="0" w:color="auto"/>
        <w:right w:val="none" w:sz="0" w:space="0" w:color="auto"/>
      </w:divBdr>
      <w:divsChild>
        <w:div w:id="808595099">
          <w:marLeft w:val="0"/>
          <w:marRight w:val="0"/>
          <w:marTop w:val="0"/>
          <w:marBottom w:val="0"/>
          <w:divBdr>
            <w:top w:val="none" w:sz="0" w:space="0" w:color="auto"/>
            <w:left w:val="none" w:sz="0" w:space="0" w:color="auto"/>
            <w:bottom w:val="none" w:sz="0" w:space="0" w:color="auto"/>
            <w:right w:val="none" w:sz="0" w:space="0" w:color="auto"/>
          </w:divBdr>
        </w:div>
        <w:div w:id="808595100">
          <w:marLeft w:val="0"/>
          <w:marRight w:val="0"/>
          <w:marTop w:val="0"/>
          <w:marBottom w:val="0"/>
          <w:divBdr>
            <w:top w:val="none" w:sz="0" w:space="0" w:color="auto"/>
            <w:left w:val="none" w:sz="0" w:space="0" w:color="auto"/>
            <w:bottom w:val="none" w:sz="0" w:space="0" w:color="auto"/>
            <w:right w:val="none" w:sz="0" w:space="0" w:color="auto"/>
          </w:divBdr>
        </w:div>
        <w:div w:id="808595105">
          <w:marLeft w:val="0"/>
          <w:marRight w:val="0"/>
          <w:marTop w:val="0"/>
          <w:marBottom w:val="0"/>
          <w:divBdr>
            <w:top w:val="none" w:sz="0" w:space="0" w:color="auto"/>
            <w:left w:val="none" w:sz="0" w:space="0" w:color="auto"/>
            <w:bottom w:val="none" w:sz="0" w:space="0" w:color="auto"/>
            <w:right w:val="none" w:sz="0" w:space="0" w:color="auto"/>
          </w:divBdr>
        </w:div>
        <w:div w:id="808595107">
          <w:marLeft w:val="0"/>
          <w:marRight w:val="0"/>
          <w:marTop w:val="0"/>
          <w:marBottom w:val="0"/>
          <w:divBdr>
            <w:top w:val="none" w:sz="0" w:space="0" w:color="auto"/>
            <w:left w:val="none" w:sz="0" w:space="0" w:color="auto"/>
            <w:bottom w:val="none" w:sz="0" w:space="0" w:color="auto"/>
            <w:right w:val="none" w:sz="0" w:space="0" w:color="auto"/>
          </w:divBdr>
        </w:div>
      </w:divsChild>
    </w:div>
    <w:div w:id="808595102">
      <w:marLeft w:val="0"/>
      <w:marRight w:val="0"/>
      <w:marTop w:val="0"/>
      <w:marBottom w:val="0"/>
      <w:divBdr>
        <w:top w:val="none" w:sz="0" w:space="0" w:color="auto"/>
        <w:left w:val="none" w:sz="0" w:space="0" w:color="auto"/>
        <w:bottom w:val="none" w:sz="0" w:space="0" w:color="auto"/>
        <w:right w:val="none" w:sz="0" w:space="0" w:color="auto"/>
      </w:divBdr>
      <w:divsChild>
        <w:div w:id="808595098">
          <w:marLeft w:val="0"/>
          <w:marRight w:val="0"/>
          <w:marTop w:val="0"/>
          <w:marBottom w:val="0"/>
          <w:divBdr>
            <w:top w:val="none" w:sz="0" w:space="0" w:color="auto"/>
            <w:left w:val="none" w:sz="0" w:space="0" w:color="auto"/>
            <w:bottom w:val="none" w:sz="0" w:space="0" w:color="auto"/>
            <w:right w:val="none" w:sz="0" w:space="0" w:color="auto"/>
          </w:divBdr>
        </w:div>
        <w:div w:id="808595103">
          <w:marLeft w:val="0"/>
          <w:marRight w:val="0"/>
          <w:marTop w:val="0"/>
          <w:marBottom w:val="0"/>
          <w:divBdr>
            <w:top w:val="none" w:sz="0" w:space="0" w:color="auto"/>
            <w:left w:val="none" w:sz="0" w:space="0" w:color="auto"/>
            <w:bottom w:val="none" w:sz="0" w:space="0" w:color="auto"/>
            <w:right w:val="none" w:sz="0" w:space="0" w:color="auto"/>
          </w:divBdr>
        </w:div>
        <w:div w:id="808595104">
          <w:marLeft w:val="0"/>
          <w:marRight w:val="0"/>
          <w:marTop w:val="0"/>
          <w:marBottom w:val="0"/>
          <w:divBdr>
            <w:top w:val="none" w:sz="0" w:space="0" w:color="auto"/>
            <w:left w:val="none" w:sz="0" w:space="0" w:color="auto"/>
            <w:bottom w:val="none" w:sz="0" w:space="0" w:color="auto"/>
            <w:right w:val="none" w:sz="0" w:space="0" w:color="auto"/>
          </w:divBdr>
        </w:div>
        <w:div w:id="808595108">
          <w:marLeft w:val="0"/>
          <w:marRight w:val="0"/>
          <w:marTop w:val="0"/>
          <w:marBottom w:val="0"/>
          <w:divBdr>
            <w:top w:val="none" w:sz="0" w:space="0" w:color="auto"/>
            <w:left w:val="none" w:sz="0" w:space="0" w:color="auto"/>
            <w:bottom w:val="none" w:sz="0" w:space="0" w:color="auto"/>
            <w:right w:val="none" w:sz="0" w:space="0" w:color="auto"/>
          </w:divBdr>
        </w:div>
      </w:divsChild>
    </w:div>
    <w:div w:id="808595106">
      <w:marLeft w:val="0"/>
      <w:marRight w:val="0"/>
      <w:marTop w:val="0"/>
      <w:marBottom w:val="0"/>
      <w:divBdr>
        <w:top w:val="none" w:sz="0" w:space="0" w:color="auto"/>
        <w:left w:val="none" w:sz="0" w:space="0" w:color="auto"/>
        <w:bottom w:val="none" w:sz="0" w:space="0" w:color="auto"/>
        <w:right w:val="none" w:sz="0" w:space="0" w:color="auto"/>
      </w:divBdr>
      <w:divsChild>
        <w:div w:id="808595095">
          <w:marLeft w:val="0"/>
          <w:marRight w:val="0"/>
          <w:marTop w:val="0"/>
          <w:marBottom w:val="0"/>
          <w:divBdr>
            <w:top w:val="none" w:sz="0" w:space="0" w:color="auto"/>
            <w:left w:val="none" w:sz="0" w:space="0" w:color="auto"/>
            <w:bottom w:val="none" w:sz="0" w:space="0" w:color="auto"/>
            <w:right w:val="none" w:sz="0" w:space="0" w:color="auto"/>
          </w:divBdr>
        </w:div>
        <w:div w:id="808595096">
          <w:marLeft w:val="0"/>
          <w:marRight w:val="0"/>
          <w:marTop w:val="0"/>
          <w:marBottom w:val="0"/>
          <w:divBdr>
            <w:top w:val="none" w:sz="0" w:space="0" w:color="auto"/>
            <w:left w:val="none" w:sz="0" w:space="0" w:color="auto"/>
            <w:bottom w:val="none" w:sz="0" w:space="0" w:color="auto"/>
            <w:right w:val="none" w:sz="0" w:space="0" w:color="auto"/>
          </w:divBdr>
        </w:div>
        <w:div w:id="808595097">
          <w:marLeft w:val="0"/>
          <w:marRight w:val="0"/>
          <w:marTop w:val="0"/>
          <w:marBottom w:val="0"/>
          <w:divBdr>
            <w:top w:val="none" w:sz="0" w:space="0" w:color="auto"/>
            <w:left w:val="none" w:sz="0" w:space="0" w:color="auto"/>
            <w:bottom w:val="none" w:sz="0" w:space="0" w:color="auto"/>
            <w:right w:val="none" w:sz="0" w:space="0" w:color="auto"/>
          </w:divBdr>
        </w:div>
      </w:divsChild>
    </w:div>
    <w:div w:id="1041369064">
      <w:bodyDiv w:val="1"/>
      <w:marLeft w:val="0"/>
      <w:marRight w:val="0"/>
      <w:marTop w:val="0"/>
      <w:marBottom w:val="0"/>
      <w:divBdr>
        <w:top w:val="none" w:sz="0" w:space="0" w:color="auto"/>
        <w:left w:val="none" w:sz="0" w:space="0" w:color="auto"/>
        <w:bottom w:val="none" w:sz="0" w:space="0" w:color="auto"/>
        <w:right w:val="none" w:sz="0" w:space="0" w:color="auto"/>
      </w:divBdr>
      <w:divsChild>
        <w:div w:id="666859840">
          <w:marLeft w:val="0"/>
          <w:marRight w:val="0"/>
          <w:marTop w:val="0"/>
          <w:marBottom w:val="0"/>
          <w:divBdr>
            <w:top w:val="none" w:sz="0" w:space="0" w:color="auto"/>
            <w:left w:val="none" w:sz="0" w:space="0" w:color="auto"/>
            <w:bottom w:val="none" w:sz="0" w:space="0" w:color="auto"/>
            <w:right w:val="none" w:sz="0" w:space="0" w:color="auto"/>
          </w:divBdr>
          <w:divsChild>
            <w:div w:id="1791243345">
              <w:marLeft w:val="0"/>
              <w:marRight w:val="0"/>
              <w:marTop w:val="0"/>
              <w:marBottom w:val="0"/>
              <w:divBdr>
                <w:top w:val="none" w:sz="0" w:space="0" w:color="auto"/>
                <w:left w:val="none" w:sz="0" w:space="0" w:color="auto"/>
                <w:bottom w:val="none" w:sz="0" w:space="0" w:color="auto"/>
                <w:right w:val="none" w:sz="0" w:space="0" w:color="auto"/>
              </w:divBdr>
              <w:divsChild>
                <w:div w:id="943807780">
                  <w:marLeft w:val="0"/>
                  <w:marRight w:val="0"/>
                  <w:marTop w:val="0"/>
                  <w:marBottom w:val="0"/>
                  <w:divBdr>
                    <w:top w:val="none" w:sz="0" w:space="0" w:color="auto"/>
                    <w:left w:val="none" w:sz="0" w:space="0" w:color="auto"/>
                    <w:bottom w:val="none" w:sz="0" w:space="0" w:color="auto"/>
                    <w:right w:val="none" w:sz="0" w:space="0" w:color="auto"/>
                  </w:divBdr>
                </w:div>
                <w:div w:id="1558205768">
                  <w:marLeft w:val="0"/>
                  <w:marRight w:val="0"/>
                  <w:marTop w:val="0"/>
                  <w:marBottom w:val="0"/>
                  <w:divBdr>
                    <w:top w:val="none" w:sz="0" w:space="0" w:color="auto"/>
                    <w:left w:val="none" w:sz="0" w:space="0" w:color="auto"/>
                    <w:bottom w:val="none" w:sz="0" w:space="0" w:color="auto"/>
                    <w:right w:val="none" w:sz="0" w:space="0" w:color="auto"/>
                  </w:divBdr>
                </w:div>
                <w:div w:id="1479348385">
                  <w:marLeft w:val="0"/>
                  <w:marRight w:val="0"/>
                  <w:marTop w:val="0"/>
                  <w:marBottom w:val="0"/>
                  <w:divBdr>
                    <w:top w:val="none" w:sz="0" w:space="0" w:color="auto"/>
                    <w:left w:val="none" w:sz="0" w:space="0" w:color="auto"/>
                    <w:bottom w:val="none" w:sz="0" w:space="0" w:color="auto"/>
                    <w:right w:val="none" w:sz="0" w:space="0" w:color="auto"/>
                  </w:divBdr>
                </w:div>
                <w:div w:id="1980382345">
                  <w:marLeft w:val="0"/>
                  <w:marRight w:val="0"/>
                  <w:marTop w:val="0"/>
                  <w:marBottom w:val="0"/>
                  <w:divBdr>
                    <w:top w:val="none" w:sz="0" w:space="0" w:color="auto"/>
                    <w:left w:val="none" w:sz="0" w:space="0" w:color="auto"/>
                    <w:bottom w:val="none" w:sz="0" w:space="0" w:color="auto"/>
                    <w:right w:val="none" w:sz="0" w:space="0" w:color="auto"/>
                  </w:divBdr>
                </w:div>
                <w:div w:id="21412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7185">
          <w:marLeft w:val="0"/>
          <w:marRight w:val="0"/>
          <w:marTop w:val="0"/>
          <w:marBottom w:val="0"/>
          <w:divBdr>
            <w:top w:val="none" w:sz="0" w:space="0" w:color="auto"/>
            <w:left w:val="none" w:sz="0" w:space="0" w:color="auto"/>
            <w:bottom w:val="none" w:sz="0" w:space="0" w:color="auto"/>
            <w:right w:val="none" w:sz="0" w:space="0" w:color="auto"/>
          </w:divBdr>
          <w:divsChild>
            <w:div w:id="1072393154">
              <w:marLeft w:val="0"/>
              <w:marRight w:val="0"/>
              <w:marTop w:val="0"/>
              <w:marBottom w:val="0"/>
              <w:divBdr>
                <w:top w:val="none" w:sz="0" w:space="0" w:color="auto"/>
                <w:left w:val="none" w:sz="0" w:space="0" w:color="auto"/>
                <w:bottom w:val="none" w:sz="0" w:space="0" w:color="auto"/>
                <w:right w:val="none" w:sz="0" w:space="0" w:color="auto"/>
              </w:divBdr>
              <w:divsChild>
                <w:div w:id="1208759909">
                  <w:marLeft w:val="0"/>
                  <w:marRight w:val="0"/>
                  <w:marTop w:val="0"/>
                  <w:marBottom w:val="0"/>
                  <w:divBdr>
                    <w:top w:val="none" w:sz="0" w:space="0" w:color="auto"/>
                    <w:left w:val="none" w:sz="0" w:space="0" w:color="auto"/>
                    <w:bottom w:val="none" w:sz="0" w:space="0" w:color="auto"/>
                    <w:right w:val="none" w:sz="0" w:space="0" w:color="auto"/>
                  </w:divBdr>
                </w:div>
                <w:div w:id="1597395799">
                  <w:marLeft w:val="0"/>
                  <w:marRight w:val="0"/>
                  <w:marTop w:val="0"/>
                  <w:marBottom w:val="0"/>
                  <w:divBdr>
                    <w:top w:val="none" w:sz="0" w:space="0" w:color="auto"/>
                    <w:left w:val="none" w:sz="0" w:space="0" w:color="auto"/>
                    <w:bottom w:val="none" w:sz="0" w:space="0" w:color="auto"/>
                    <w:right w:val="none" w:sz="0" w:space="0" w:color="auto"/>
                  </w:divBdr>
                </w:div>
                <w:div w:id="1249315853">
                  <w:marLeft w:val="0"/>
                  <w:marRight w:val="0"/>
                  <w:marTop w:val="0"/>
                  <w:marBottom w:val="0"/>
                  <w:divBdr>
                    <w:top w:val="none" w:sz="0" w:space="0" w:color="auto"/>
                    <w:left w:val="none" w:sz="0" w:space="0" w:color="auto"/>
                    <w:bottom w:val="none" w:sz="0" w:space="0" w:color="auto"/>
                    <w:right w:val="none" w:sz="0" w:space="0" w:color="auto"/>
                  </w:divBdr>
                </w:div>
                <w:div w:id="1496141715">
                  <w:marLeft w:val="0"/>
                  <w:marRight w:val="0"/>
                  <w:marTop w:val="0"/>
                  <w:marBottom w:val="0"/>
                  <w:divBdr>
                    <w:top w:val="none" w:sz="0" w:space="0" w:color="auto"/>
                    <w:left w:val="none" w:sz="0" w:space="0" w:color="auto"/>
                    <w:bottom w:val="none" w:sz="0" w:space="0" w:color="auto"/>
                    <w:right w:val="none" w:sz="0" w:space="0" w:color="auto"/>
                  </w:divBdr>
                </w:div>
                <w:div w:id="1272322194">
                  <w:marLeft w:val="0"/>
                  <w:marRight w:val="0"/>
                  <w:marTop w:val="0"/>
                  <w:marBottom w:val="0"/>
                  <w:divBdr>
                    <w:top w:val="none" w:sz="0" w:space="0" w:color="auto"/>
                    <w:left w:val="none" w:sz="0" w:space="0" w:color="auto"/>
                    <w:bottom w:val="none" w:sz="0" w:space="0" w:color="auto"/>
                    <w:right w:val="none" w:sz="0" w:space="0" w:color="auto"/>
                  </w:divBdr>
                </w:div>
                <w:div w:id="631790765">
                  <w:marLeft w:val="0"/>
                  <w:marRight w:val="0"/>
                  <w:marTop w:val="0"/>
                  <w:marBottom w:val="0"/>
                  <w:divBdr>
                    <w:top w:val="none" w:sz="0" w:space="0" w:color="auto"/>
                    <w:left w:val="none" w:sz="0" w:space="0" w:color="auto"/>
                    <w:bottom w:val="none" w:sz="0" w:space="0" w:color="auto"/>
                    <w:right w:val="none" w:sz="0" w:space="0" w:color="auto"/>
                  </w:divBdr>
                </w:div>
                <w:div w:id="1905287360">
                  <w:marLeft w:val="0"/>
                  <w:marRight w:val="0"/>
                  <w:marTop w:val="0"/>
                  <w:marBottom w:val="0"/>
                  <w:divBdr>
                    <w:top w:val="none" w:sz="0" w:space="0" w:color="auto"/>
                    <w:left w:val="none" w:sz="0" w:space="0" w:color="auto"/>
                    <w:bottom w:val="none" w:sz="0" w:space="0" w:color="auto"/>
                    <w:right w:val="none" w:sz="0" w:space="0" w:color="auto"/>
                  </w:divBdr>
                </w:div>
                <w:div w:id="1245452606">
                  <w:marLeft w:val="0"/>
                  <w:marRight w:val="0"/>
                  <w:marTop w:val="0"/>
                  <w:marBottom w:val="0"/>
                  <w:divBdr>
                    <w:top w:val="none" w:sz="0" w:space="0" w:color="auto"/>
                    <w:left w:val="none" w:sz="0" w:space="0" w:color="auto"/>
                    <w:bottom w:val="none" w:sz="0" w:space="0" w:color="auto"/>
                    <w:right w:val="none" w:sz="0" w:space="0" w:color="auto"/>
                  </w:divBdr>
                </w:div>
                <w:div w:id="1874075971">
                  <w:marLeft w:val="0"/>
                  <w:marRight w:val="0"/>
                  <w:marTop w:val="0"/>
                  <w:marBottom w:val="0"/>
                  <w:divBdr>
                    <w:top w:val="none" w:sz="0" w:space="0" w:color="auto"/>
                    <w:left w:val="none" w:sz="0" w:space="0" w:color="auto"/>
                    <w:bottom w:val="none" w:sz="0" w:space="0" w:color="auto"/>
                    <w:right w:val="none" w:sz="0" w:space="0" w:color="auto"/>
                  </w:divBdr>
                </w:div>
                <w:div w:id="548955673">
                  <w:marLeft w:val="0"/>
                  <w:marRight w:val="0"/>
                  <w:marTop w:val="0"/>
                  <w:marBottom w:val="0"/>
                  <w:divBdr>
                    <w:top w:val="none" w:sz="0" w:space="0" w:color="auto"/>
                    <w:left w:val="none" w:sz="0" w:space="0" w:color="auto"/>
                    <w:bottom w:val="none" w:sz="0" w:space="0" w:color="auto"/>
                    <w:right w:val="none" w:sz="0" w:space="0" w:color="auto"/>
                  </w:divBdr>
                </w:div>
                <w:div w:id="1907838872">
                  <w:marLeft w:val="0"/>
                  <w:marRight w:val="0"/>
                  <w:marTop w:val="0"/>
                  <w:marBottom w:val="0"/>
                  <w:divBdr>
                    <w:top w:val="none" w:sz="0" w:space="0" w:color="auto"/>
                    <w:left w:val="none" w:sz="0" w:space="0" w:color="auto"/>
                    <w:bottom w:val="none" w:sz="0" w:space="0" w:color="auto"/>
                    <w:right w:val="none" w:sz="0" w:space="0" w:color="auto"/>
                  </w:divBdr>
                </w:div>
                <w:div w:id="253318511">
                  <w:marLeft w:val="0"/>
                  <w:marRight w:val="0"/>
                  <w:marTop w:val="0"/>
                  <w:marBottom w:val="0"/>
                  <w:divBdr>
                    <w:top w:val="none" w:sz="0" w:space="0" w:color="auto"/>
                    <w:left w:val="none" w:sz="0" w:space="0" w:color="auto"/>
                    <w:bottom w:val="none" w:sz="0" w:space="0" w:color="auto"/>
                    <w:right w:val="none" w:sz="0" w:space="0" w:color="auto"/>
                  </w:divBdr>
                </w:div>
                <w:div w:id="388648363">
                  <w:marLeft w:val="0"/>
                  <w:marRight w:val="0"/>
                  <w:marTop w:val="0"/>
                  <w:marBottom w:val="0"/>
                  <w:divBdr>
                    <w:top w:val="none" w:sz="0" w:space="0" w:color="auto"/>
                    <w:left w:val="none" w:sz="0" w:space="0" w:color="auto"/>
                    <w:bottom w:val="none" w:sz="0" w:space="0" w:color="auto"/>
                    <w:right w:val="none" w:sz="0" w:space="0" w:color="auto"/>
                  </w:divBdr>
                </w:div>
                <w:div w:id="1193297959">
                  <w:marLeft w:val="0"/>
                  <w:marRight w:val="0"/>
                  <w:marTop w:val="0"/>
                  <w:marBottom w:val="0"/>
                  <w:divBdr>
                    <w:top w:val="none" w:sz="0" w:space="0" w:color="auto"/>
                    <w:left w:val="none" w:sz="0" w:space="0" w:color="auto"/>
                    <w:bottom w:val="none" w:sz="0" w:space="0" w:color="auto"/>
                    <w:right w:val="none" w:sz="0" w:space="0" w:color="auto"/>
                  </w:divBdr>
                </w:div>
                <w:div w:id="503206031">
                  <w:marLeft w:val="0"/>
                  <w:marRight w:val="0"/>
                  <w:marTop w:val="0"/>
                  <w:marBottom w:val="0"/>
                  <w:divBdr>
                    <w:top w:val="none" w:sz="0" w:space="0" w:color="auto"/>
                    <w:left w:val="none" w:sz="0" w:space="0" w:color="auto"/>
                    <w:bottom w:val="none" w:sz="0" w:space="0" w:color="auto"/>
                    <w:right w:val="none" w:sz="0" w:space="0" w:color="auto"/>
                  </w:divBdr>
                </w:div>
                <w:div w:id="1851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09992">
      <w:bodyDiv w:val="1"/>
      <w:marLeft w:val="0"/>
      <w:marRight w:val="0"/>
      <w:marTop w:val="0"/>
      <w:marBottom w:val="0"/>
      <w:divBdr>
        <w:top w:val="none" w:sz="0" w:space="0" w:color="auto"/>
        <w:left w:val="none" w:sz="0" w:space="0" w:color="auto"/>
        <w:bottom w:val="none" w:sz="0" w:space="0" w:color="auto"/>
        <w:right w:val="none" w:sz="0" w:space="0" w:color="auto"/>
      </w:divBdr>
      <w:divsChild>
        <w:div w:id="1081365419">
          <w:marLeft w:val="0"/>
          <w:marRight w:val="0"/>
          <w:marTop w:val="0"/>
          <w:marBottom w:val="0"/>
          <w:divBdr>
            <w:top w:val="none" w:sz="0" w:space="0" w:color="auto"/>
            <w:left w:val="none" w:sz="0" w:space="0" w:color="auto"/>
            <w:bottom w:val="none" w:sz="0" w:space="0" w:color="auto"/>
            <w:right w:val="none" w:sz="0" w:space="0" w:color="auto"/>
          </w:divBdr>
        </w:div>
        <w:div w:id="1801143873">
          <w:marLeft w:val="0"/>
          <w:marRight w:val="0"/>
          <w:marTop w:val="0"/>
          <w:marBottom w:val="0"/>
          <w:divBdr>
            <w:top w:val="none" w:sz="0" w:space="0" w:color="auto"/>
            <w:left w:val="none" w:sz="0" w:space="0" w:color="auto"/>
            <w:bottom w:val="none" w:sz="0" w:space="0" w:color="auto"/>
            <w:right w:val="none" w:sz="0" w:space="0" w:color="auto"/>
          </w:divBdr>
        </w:div>
      </w:divsChild>
    </w:div>
    <w:div w:id="1152939857">
      <w:bodyDiv w:val="1"/>
      <w:marLeft w:val="0"/>
      <w:marRight w:val="0"/>
      <w:marTop w:val="0"/>
      <w:marBottom w:val="0"/>
      <w:divBdr>
        <w:top w:val="none" w:sz="0" w:space="0" w:color="auto"/>
        <w:left w:val="none" w:sz="0" w:space="0" w:color="auto"/>
        <w:bottom w:val="none" w:sz="0" w:space="0" w:color="auto"/>
        <w:right w:val="none" w:sz="0" w:space="0" w:color="auto"/>
      </w:divBdr>
      <w:divsChild>
        <w:div w:id="677585829">
          <w:marLeft w:val="0"/>
          <w:marRight w:val="0"/>
          <w:marTop w:val="0"/>
          <w:marBottom w:val="0"/>
          <w:divBdr>
            <w:top w:val="none" w:sz="0" w:space="0" w:color="auto"/>
            <w:left w:val="none" w:sz="0" w:space="0" w:color="auto"/>
            <w:bottom w:val="none" w:sz="0" w:space="0" w:color="auto"/>
            <w:right w:val="none" w:sz="0" w:space="0" w:color="auto"/>
          </w:divBdr>
        </w:div>
        <w:div w:id="1953780102">
          <w:marLeft w:val="0"/>
          <w:marRight w:val="0"/>
          <w:marTop w:val="0"/>
          <w:marBottom w:val="0"/>
          <w:divBdr>
            <w:top w:val="none" w:sz="0" w:space="0" w:color="auto"/>
            <w:left w:val="none" w:sz="0" w:space="0" w:color="auto"/>
            <w:bottom w:val="none" w:sz="0" w:space="0" w:color="auto"/>
            <w:right w:val="none" w:sz="0" w:space="0" w:color="auto"/>
          </w:divBdr>
        </w:div>
        <w:div w:id="344401969">
          <w:marLeft w:val="0"/>
          <w:marRight w:val="0"/>
          <w:marTop w:val="0"/>
          <w:marBottom w:val="0"/>
          <w:divBdr>
            <w:top w:val="none" w:sz="0" w:space="0" w:color="auto"/>
            <w:left w:val="none" w:sz="0" w:space="0" w:color="auto"/>
            <w:bottom w:val="none" w:sz="0" w:space="0" w:color="auto"/>
            <w:right w:val="none" w:sz="0" w:space="0" w:color="auto"/>
          </w:divBdr>
        </w:div>
        <w:div w:id="1783567599">
          <w:marLeft w:val="0"/>
          <w:marRight w:val="0"/>
          <w:marTop w:val="0"/>
          <w:marBottom w:val="0"/>
          <w:divBdr>
            <w:top w:val="none" w:sz="0" w:space="0" w:color="auto"/>
            <w:left w:val="none" w:sz="0" w:space="0" w:color="auto"/>
            <w:bottom w:val="none" w:sz="0" w:space="0" w:color="auto"/>
            <w:right w:val="none" w:sz="0" w:space="0" w:color="auto"/>
          </w:divBdr>
        </w:div>
        <w:div w:id="455756779">
          <w:marLeft w:val="0"/>
          <w:marRight w:val="0"/>
          <w:marTop w:val="0"/>
          <w:marBottom w:val="0"/>
          <w:divBdr>
            <w:top w:val="none" w:sz="0" w:space="0" w:color="auto"/>
            <w:left w:val="none" w:sz="0" w:space="0" w:color="auto"/>
            <w:bottom w:val="none" w:sz="0" w:space="0" w:color="auto"/>
            <w:right w:val="none" w:sz="0" w:space="0" w:color="auto"/>
          </w:divBdr>
        </w:div>
        <w:div w:id="499976061">
          <w:marLeft w:val="0"/>
          <w:marRight w:val="0"/>
          <w:marTop w:val="0"/>
          <w:marBottom w:val="0"/>
          <w:divBdr>
            <w:top w:val="none" w:sz="0" w:space="0" w:color="auto"/>
            <w:left w:val="none" w:sz="0" w:space="0" w:color="auto"/>
            <w:bottom w:val="none" w:sz="0" w:space="0" w:color="auto"/>
            <w:right w:val="none" w:sz="0" w:space="0" w:color="auto"/>
          </w:divBdr>
        </w:div>
      </w:divsChild>
    </w:div>
    <w:div w:id="1305165031">
      <w:bodyDiv w:val="1"/>
      <w:marLeft w:val="0"/>
      <w:marRight w:val="0"/>
      <w:marTop w:val="0"/>
      <w:marBottom w:val="0"/>
      <w:divBdr>
        <w:top w:val="none" w:sz="0" w:space="0" w:color="auto"/>
        <w:left w:val="none" w:sz="0" w:space="0" w:color="auto"/>
        <w:bottom w:val="none" w:sz="0" w:space="0" w:color="auto"/>
        <w:right w:val="none" w:sz="0" w:space="0" w:color="auto"/>
      </w:divBdr>
      <w:divsChild>
        <w:div w:id="1743135592">
          <w:marLeft w:val="0"/>
          <w:marRight w:val="0"/>
          <w:marTop w:val="0"/>
          <w:marBottom w:val="0"/>
          <w:divBdr>
            <w:top w:val="none" w:sz="0" w:space="0" w:color="auto"/>
            <w:left w:val="none" w:sz="0" w:space="0" w:color="auto"/>
            <w:bottom w:val="none" w:sz="0" w:space="0" w:color="auto"/>
            <w:right w:val="none" w:sz="0" w:space="0" w:color="auto"/>
          </w:divBdr>
        </w:div>
        <w:div w:id="1878158612">
          <w:marLeft w:val="0"/>
          <w:marRight w:val="0"/>
          <w:marTop w:val="0"/>
          <w:marBottom w:val="0"/>
          <w:divBdr>
            <w:top w:val="none" w:sz="0" w:space="0" w:color="auto"/>
            <w:left w:val="none" w:sz="0" w:space="0" w:color="auto"/>
            <w:bottom w:val="none" w:sz="0" w:space="0" w:color="auto"/>
            <w:right w:val="none" w:sz="0" w:space="0" w:color="auto"/>
          </w:divBdr>
        </w:div>
        <w:div w:id="1141534770">
          <w:marLeft w:val="0"/>
          <w:marRight w:val="0"/>
          <w:marTop w:val="0"/>
          <w:marBottom w:val="0"/>
          <w:divBdr>
            <w:top w:val="none" w:sz="0" w:space="0" w:color="auto"/>
            <w:left w:val="none" w:sz="0" w:space="0" w:color="auto"/>
            <w:bottom w:val="none" w:sz="0" w:space="0" w:color="auto"/>
            <w:right w:val="none" w:sz="0" w:space="0" w:color="auto"/>
          </w:divBdr>
        </w:div>
      </w:divsChild>
    </w:div>
    <w:div w:id="1351177973">
      <w:bodyDiv w:val="1"/>
      <w:marLeft w:val="0"/>
      <w:marRight w:val="0"/>
      <w:marTop w:val="0"/>
      <w:marBottom w:val="0"/>
      <w:divBdr>
        <w:top w:val="none" w:sz="0" w:space="0" w:color="auto"/>
        <w:left w:val="none" w:sz="0" w:space="0" w:color="auto"/>
        <w:bottom w:val="none" w:sz="0" w:space="0" w:color="auto"/>
        <w:right w:val="none" w:sz="0" w:space="0" w:color="auto"/>
      </w:divBdr>
      <w:divsChild>
        <w:div w:id="601449587">
          <w:marLeft w:val="0"/>
          <w:marRight w:val="0"/>
          <w:marTop w:val="0"/>
          <w:marBottom w:val="0"/>
          <w:divBdr>
            <w:top w:val="none" w:sz="0" w:space="0" w:color="auto"/>
            <w:left w:val="none" w:sz="0" w:space="0" w:color="auto"/>
            <w:bottom w:val="none" w:sz="0" w:space="0" w:color="auto"/>
            <w:right w:val="none" w:sz="0" w:space="0" w:color="auto"/>
          </w:divBdr>
        </w:div>
        <w:div w:id="1142623849">
          <w:marLeft w:val="0"/>
          <w:marRight w:val="0"/>
          <w:marTop w:val="0"/>
          <w:marBottom w:val="0"/>
          <w:divBdr>
            <w:top w:val="none" w:sz="0" w:space="0" w:color="auto"/>
            <w:left w:val="none" w:sz="0" w:space="0" w:color="auto"/>
            <w:bottom w:val="none" w:sz="0" w:space="0" w:color="auto"/>
            <w:right w:val="none" w:sz="0" w:space="0" w:color="auto"/>
          </w:divBdr>
        </w:div>
      </w:divsChild>
    </w:div>
    <w:div w:id="1472165812">
      <w:bodyDiv w:val="1"/>
      <w:marLeft w:val="0"/>
      <w:marRight w:val="0"/>
      <w:marTop w:val="0"/>
      <w:marBottom w:val="0"/>
      <w:divBdr>
        <w:top w:val="none" w:sz="0" w:space="0" w:color="auto"/>
        <w:left w:val="none" w:sz="0" w:space="0" w:color="auto"/>
        <w:bottom w:val="none" w:sz="0" w:space="0" w:color="auto"/>
        <w:right w:val="none" w:sz="0" w:space="0" w:color="auto"/>
      </w:divBdr>
      <w:divsChild>
        <w:div w:id="8483248">
          <w:marLeft w:val="0"/>
          <w:marRight w:val="0"/>
          <w:marTop w:val="0"/>
          <w:marBottom w:val="0"/>
          <w:divBdr>
            <w:top w:val="none" w:sz="0" w:space="0" w:color="auto"/>
            <w:left w:val="none" w:sz="0" w:space="0" w:color="auto"/>
            <w:bottom w:val="none" w:sz="0" w:space="0" w:color="auto"/>
            <w:right w:val="none" w:sz="0" w:space="0" w:color="auto"/>
          </w:divBdr>
        </w:div>
        <w:div w:id="657727135">
          <w:marLeft w:val="0"/>
          <w:marRight w:val="0"/>
          <w:marTop w:val="0"/>
          <w:marBottom w:val="0"/>
          <w:divBdr>
            <w:top w:val="none" w:sz="0" w:space="0" w:color="auto"/>
            <w:left w:val="none" w:sz="0" w:space="0" w:color="auto"/>
            <w:bottom w:val="none" w:sz="0" w:space="0" w:color="auto"/>
            <w:right w:val="none" w:sz="0" w:space="0" w:color="auto"/>
          </w:divBdr>
        </w:div>
        <w:div w:id="1415710244">
          <w:marLeft w:val="0"/>
          <w:marRight w:val="0"/>
          <w:marTop w:val="0"/>
          <w:marBottom w:val="0"/>
          <w:divBdr>
            <w:top w:val="none" w:sz="0" w:space="0" w:color="auto"/>
            <w:left w:val="none" w:sz="0" w:space="0" w:color="auto"/>
            <w:bottom w:val="none" w:sz="0" w:space="0" w:color="auto"/>
            <w:right w:val="none" w:sz="0" w:space="0" w:color="auto"/>
          </w:divBdr>
        </w:div>
        <w:div w:id="677929802">
          <w:marLeft w:val="0"/>
          <w:marRight w:val="0"/>
          <w:marTop w:val="0"/>
          <w:marBottom w:val="0"/>
          <w:divBdr>
            <w:top w:val="none" w:sz="0" w:space="0" w:color="auto"/>
            <w:left w:val="none" w:sz="0" w:space="0" w:color="auto"/>
            <w:bottom w:val="none" w:sz="0" w:space="0" w:color="auto"/>
            <w:right w:val="none" w:sz="0" w:space="0" w:color="auto"/>
          </w:divBdr>
        </w:div>
        <w:div w:id="629360508">
          <w:marLeft w:val="0"/>
          <w:marRight w:val="0"/>
          <w:marTop w:val="0"/>
          <w:marBottom w:val="0"/>
          <w:divBdr>
            <w:top w:val="none" w:sz="0" w:space="0" w:color="auto"/>
            <w:left w:val="none" w:sz="0" w:space="0" w:color="auto"/>
            <w:bottom w:val="none" w:sz="0" w:space="0" w:color="auto"/>
            <w:right w:val="none" w:sz="0" w:space="0" w:color="auto"/>
          </w:divBdr>
        </w:div>
        <w:div w:id="1934584264">
          <w:marLeft w:val="0"/>
          <w:marRight w:val="0"/>
          <w:marTop w:val="0"/>
          <w:marBottom w:val="0"/>
          <w:divBdr>
            <w:top w:val="none" w:sz="0" w:space="0" w:color="auto"/>
            <w:left w:val="none" w:sz="0" w:space="0" w:color="auto"/>
            <w:bottom w:val="none" w:sz="0" w:space="0" w:color="auto"/>
            <w:right w:val="none" w:sz="0" w:space="0" w:color="auto"/>
          </w:divBdr>
        </w:div>
        <w:div w:id="1058551968">
          <w:marLeft w:val="0"/>
          <w:marRight w:val="0"/>
          <w:marTop w:val="0"/>
          <w:marBottom w:val="0"/>
          <w:divBdr>
            <w:top w:val="none" w:sz="0" w:space="0" w:color="auto"/>
            <w:left w:val="none" w:sz="0" w:space="0" w:color="auto"/>
            <w:bottom w:val="none" w:sz="0" w:space="0" w:color="auto"/>
            <w:right w:val="none" w:sz="0" w:space="0" w:color="auto"/>
          </w:divBdr>
        </w:div>
        <w:div w:id="1726948049">
          <w:marLeft w:val="0"/>
          <w:marRight w:val="0"/>
          <w:marTop w:val="0"/>
          <w:marBottom w:val="0"/>
          <w:divBdr>
            <w:top w:val="none" w:sz="0" w:space="0" w:color="auto"/>
            <w:left w:val="none" w:sz="0" w:space="0" w:color="auto"/>
            <w:bottom w:val="none" w:sz="0" w:space="0" w:color="auto"/>
            <w:right w:val="none" w:sz="0" w:space="0" w:color="auto"/>
          </w:divBdr>
        </w:div>
        <w:div w:id="812018431">
          <w:marLeft w:val="0"/>
          <w:marRight w:val="0"/>
          <w:marTop w:val="0"/>
          <w:marBottom w:val="0"/>
          <w:divBdr>
            <w:top w:val="none" w:sz="0" w:space="0" w:color="auto"/>
            <w:left w:val="none" w:sz="0" w:space="0" w:color="auto"/>
            <w:bottom w:val="none" w:sz="0" w:space="0" w:color="auto"/>
            <w:right w:val="none" w:sz="0" w:space="0" w:color="auto"/>
          </w:divBdr>
        </w:div>
        <w:div w:id="1459297502">
          <w:marLeft w:val="0"/>
          <w:marRight w:val="0"/>
          <w:marTop w:val="0"/>
          <w:marBottom w:val="0"/>
          <w:divBdr>
            <w:top w:val="none" w:sz="0" w:space="0" w:color="auto"/>
            <w:left w:val="none" w:sz="0" w:space="0" w:color="auto"/>
            <w:bottom w:val="none" w:sz="0" w:space="0" w:color="auto"/>
            <w:right w:val="none" w:sz="0" w:space="0" w:color="auto"/>
          </w:divBdr>
        </w:div>
        <w:div w:id="106850595">
          <w:marLeft w:val="0"/>
          <w:marRight w:val="0"/>
          <w:marTop w:val="0"/>
          <w:marBottom w:val="0"/>
          <w:divBdr>
            <w:top w:val="none" w:sz="0" w:space="0" w:color="auto"/>
            <w:left w:val="none" w:sz="0" w:space="0" w:color="auto"/>
            <w:bottom w:val="none" w:sz="0" w:space="0" w:color="auto"/>
            <w:right w:val="none" w:sz="0" w:space="0" w:color="auto"/>
          </w:divBdr>
        </w:div>
        <w:div w:id="155846778">
          <w:marLeft w:val="0"/>
          <w:marRight w:val="0"/>
          <w:marTop w:val="0"/>
          <w:marBottom w:val="0"/>
          <w:divBdr>
            <w:top w:val="none" w:sz="0" w:space="0" w:color="auto"/>
            <w:left w:val="none" w:sz="0" w:space="0" w:color="auto"/>
            <w:bottom w:val="none" w:sz="0" w:space="0" w:color="auto"/>
            <w:right w:val="none" w:sz="0" w:space="0" w:color="auto"/>
          </w:divBdr>
        </w:div>
        <w:div w:id="1179008019">
          <w:marLeft w:val="0"/>
          <w:marRight w:val="0"/>
          <w:marTop w:val="0"/>
          <w:marBottom w:val="0"/>
          <w:divBdr>
            <w:top w:val="none" w:sz="0" w:space="0" w:color="auto"/>
            <w:left w:val="none" w:sz="0" w:space="0" w:color="auto"/>
            <w:bottom w:val="none" w:sz="0" w:space="0" w:color="auto"/>
            <w:right w:val="none" w:sz="0" w:space="0" w:color="auto"/>
          </w:divBdr>
        </w:div>
        <w:div w:id="1234124520">
          <w:marLeft w:val="0"/>
          <w:marRight w:val="0"/>
          <w:marTop w:val="0"/>
          <w:marBottom w:val="0"/>
          <w:divBdr>
            <w:top w:val="none" w:sz="0" w:space="0" w:color="auto"/>
            <w:left w:val="none" w:sz="0" w:space="0" w:color="auto"/>
            <w:bottom w:val="none" w:sz="0" w:space="0" w:color="auto"/>
            <w:right w:val="none" w:sz="0" w:space="0" w:color="auto"/>
          </w:divBdr>
        </w:div>
        <w:div w:id="1420103368">
          <w:marLeft w:val="0"/>
          <w:marRight w:val="0"/>
          <w:marTop w:val="0"/>
          <w:marBottom w:val="0"/>
          <w:divBdr>
            <w:top w:val="none" w:sz="0" w:space="0" w:color="auto"/>
            <w:left w:val="none" w:sz="0" w:space="0" w:color="auto"/>
            <w:bottom w:val="none" w:sz="0" w:space="0" w:color="auto"/>
            <w:right w:val="none" w:sz="0" w:space="0" w:color="auto"/>
          </w:divBdr>
        </w:div>
        <w:div w:id="551648888">
          <w:marLeft w:val="0"/>
          <w:marRight w:val="0"/>
          <w:marTop w:val="0"/>
          <w:marBottom w:val="0"/>
          <w:divBdr>
            <w:top w:val="none" w:sz="0" w:space="0" w:color="auto"/>
            <w:left w:val="none" w:sz="0" w:space="0" w:color="auto"/>
            <w:bottom w:val="none" w:sz="0" w:space="0" w:color="auto"/>
            <w:right w:val="none" w:sz="0" w:space="0" w:color="auto"/>
          </w:divBdr>
        </w:div>
        <w:div w:id="2012295994">
          <w:marLeft w:val="0"/>
          <w:marRight w:val="0"/>
          <w:marTop w:val="0"/>
          <w:marBottom w:val="0"/>
          <w:divBdr>
            <w:top w:val="none" w:sz="0" w:space="0" w:color="auto"/>
            <w:left w:val="none" w:sz="0" w:space="0" w:color="auto"/>
            <w:bottom w:val="none" w:sz="0" w:space="0" w:color="auto"/>
            <w:right w:val="none" w:sz="0" w:space="0" w:color="auto"/>
          </w:divBdr>
        </w:div>
      </w:divsChild>
    </w:div>
    <w:div w:id="1496458357">
      <w:bodyDiv w:val="1"/>
      <w:marLeft w:val="0"/>
      <w:marRight w:val="0"/>
      <w:marTop w:val="0"/>
      <w:marBottom w:val="0"/>
      <w:divBdr>
        <w:top w:val="none" w:sz="0" w:space="0" w:color="auto"/>
        <w:left w:val="none" w:sz="0" w:space="0" w:color="auto"/>
        <w:bottom w:val="none" w:sz="0" w:space="0" w:color="auto"/>
        <w:right w:val="none" w:sz="0" w:space="0" w:color="auto"/>
      </w:divBdr>
      <w:divsChild>
        <w:div w:id="61636521">
          <w:marLeft w:val="0"/>
          <w:marRight w:val="0"/>
          <w:marTop w:val="0"/>
          <w:marBottom w:val="0"/>
          <w:divBdr>
            <w:top w:val="none" w:sz="0" w:space="0" w:color="auto"/>
            <w:left w:val="none" w:sz="0" w:space="0" w:color="auto"/>
            <w:bottom w:val="none" w:sz="0" w:space="0" w:color="auto"/>
            <w:right w:val="none" w:sz="0" w:space="0" w:color="auto"/>
          </w:divBdr>
          <w:divsChild>
            <w:div w:id="1427506653">
              <w:marLeft w:val="0"/>
              <w:marRight w:val="0"/>
              <w:marTop w:val="0"/>
              <w:marBottom w:val="0"/>
              <w:divBdr>
                <w:top w:val="none" w:sz="0" w:space="0" w:color="auto"/>
                <w:left w:val="none" w:sz="0" w:space="0" w:color="auto"/>
                <w:bottom w:val="none" w:sz="0" w:space="0" w:color="auto"/>
                <w:right w:val="none" w:sz="0" w:space="0" w:color="auto"/>
              </w:divBdr>
              <w:divsChild>
                <w:div w:id="1132944286">
                  <w:marLeft w:val="0"/>
                  <w:marRight w:val="0"/>
                  <w:marTop w:val="0"/>
                  <w:marBottom w:val="0"/>
                  <w:divBdr>
                    <w:top w:val="none" w:sz="0" w:space="0" w:color="auto"/>
                    <w:left w:val="none" w:sz="0" w:space="0" w:color="auto"/>
                    <w:bottom w:val="none" w:sz="0" w:space="0" w:color="auto"/>
                    <w:right w:val="none" w:sz="0" w:space="0" w:color="auto"/>
                  </w:divBdr>
                </w:div>
                <w:div w:id="1423330716">
                  <w:marLeft w:val="0"/>
                  <w:marRight w:val="0"/>
                  <w:marTop w:val="0"/>
                  <w:marBottom w:val="0"/>
                  <w:divBdr>
                    <w:top w:val="none" w:sz="0" w:space="0" w:color="auto"/>
                    <w:left w:val="none" w:sz="0" w:space="0" w:color="auto"/>
                    <w:bottom w:val="none" w:sz="0" w:space="0" w:color="auto"/>
                    <w:right w:val="none" w:sz="0" w:space="0" w:color="auto"/>
                  </w:divBdr>
                </w:div>
                <w:div w:id="1801998990">
                  <w:marLeft w:val="0"/>
                  <w:marRight w:val="0"/>
                  <w:marTop w:val="0"/>
                  <w:marBottom w:val="0"/>
                  <w:divBdr>
                    <w:top w:val="none" w:sz="0" w:space="0" w:color="auto"/>
                    <w:left w:val="none" w:sz="0" w:space="0" w:color="auto"/>
                    <w:bottom w:val="none" w:sz="0" w:space="0" w:color="auto"/>
                    <w:right w:val="none" w:sz="0" w:space="0" w:color="auto"/>
                  </w:divBdr>
                </w:div>
                <w:div w:id="1141266960">
                  <w:marLeft w:val="0"/>
                  <w:marRight w:val="0"/>
                  <w:marTop w:val="0"/>
                  <w:marBottom w:val="0"/>
                  <w:divBdr>
                    <w:top w:val="none" w:sz="0" w:space="0" w:color="auto"/>
                    <w:left w:val="none" w:sz="0" w:space="0" w:color="auto"/>
                    <w:bottom w:val="none" w:sz="0" w:space="0" w:color="auto"/>
                    <w:right w:val="none" w:sz="0" w:space="0" w:color="auto"/>
                  </w:divBdr>
                </w:div>
                <w:div w:id="1124735971">
                  <w:marLeft w:val="0"/>
                  <w:marRight w:val="0"/>
                  <w:marTop w:val="0"/>
                  <w:marBottom w:val="0"/>
                  <w:divBdr>
                    <w:top w:val="none" w:sz="0" w:space="0" w:color="auto"/>
                    <w:left w:val="none" w:sz="0" w:space="0" w:color="auto"/>
                    <w:bottom w:val="none" w:sz="0" w:space="0" w:color="auto"/>
                    <w:right w:val="none" w:sz="0" w:space="0" w:color="auto"/>
                  </w:divBdr>
                </w:div>
                <w:div w:id="1929727304">
                  <w:marLeft w:val="0"/>
                  <w:marRight w:val="0"/>
                  <w:marTop w:val="0"/>
                  <w:marBottom w:val="0"/>
                  <w:divBdr>
                    <w:top w:val="none" w:sz="0" w:space="0" w:color="auto"/>
                    <w:left w:val="none" w:sz="0" w:space="0" w:color="auto"/>
                    <w:bottom w:val="none" w:sz="0" w:space="0" w:color="auto"/>
                    <w:right w:val="none" w:sz="0" w:space="0" w:color="auto"/>
                  </w:divBdr>
                </w:div>
                <w:div w:id="1636519466">
                  <w:marLeft w:val="0"/>
                  <w:marRight w:val="0"/>
                  <w:marTop w:val="0"/>
                  <w:marBottom w:val="0"/>
                  <w:divBdr>
                    <w:top w:val="none" w:sz="0" w:space="0" w:color="auto"/>
                    <w:left w:val="none" w:sz="0" w:space="0" w:color="auto"/>
                    <w:bottom w:val="none" w:sz="0" w:space="0" w:color="auto"/>
                    <w:right w:val="none" w:sz="0" w:space="0" w:color="auto"/>
                  </w:divBdr>
                </w:div>
                <w:div w:id="1076364713">
                  <w:marLeft w:val="0"/>
                  <w:marRight w:val="0"/>
                  <w:marTop w:val="0"/>
                  <w:marBottom w:val="0"/>
                  <w:divBdr>
                    <w:top w:val="none" w:sz="0" w:space="0" w:color="auto"/>
                    <w:left w:val="none" w:sz="0" w:space="0" w:color="auto"/>
                    <w:bottom w:val="none" w:sz="0" w:space="0" w:color="auto"/>
                    <w:right w:val="none" w:sz="0" w:space="0" w:color="auto"/>
                  </w:divBdr>
                </w:div>
                <w:div w:id="597450051">
                  <w:marLeft w:val="0"/>
                  <w:marRight w:val="0"/>
                  <w:marTop w:val="0"/>
                  <w:marBottom w:val="0"/>
                  <w:divBdr>
                    <w:top w:val="none" w:sz="0" w:space="0" w:color="auto"/>
                    <w:left w:val="none" w:sz="0" w:space="0" w:color="auto"/>
                    <w:bottom w:val="none" w:sz="0" w:space="0" w:color="auto"/>
                    <w:right w:val="none" w:sz="0" w:space="0" w:color="auto"/>
                  </w:divBdr>
                </w:div>
                <w:div w:id="117455572">
                  <w:marLeft w:val="0"/>
                  <w:marRight w:val="0"/>
                  <w:marTop w:val="0"/>
                  <w:marBottom w:val="0"/>
                  <w:divBdr>
                    <w:top w:val="none" w:sz="0" w:space="0" w:color="auto"/>
                    <w:left w:val="none" w:sz="0" w:space="0" w:color="auto"/>
                    <w:bottom w:val="none" w:sz="0" w:space="0" w:color="auto"/>
                    <w:right w:val="none" w:sz="0" w:space="0" w:color="auto"/>
                  </w:divBdr>
                </w:div>
                <w:div w:id="2015067657">
                  <w:marLeft w:val="0"/>
                  <w:marRight w:val="0"/>
                  <w:marTop w:val="0"/>
                  <w:marBottom w:val="0"/>
                  <w:divBdr>
                    <w:top w:val="none" w:sz="0" w:space="0" w:color="auto"/>
                    <w:left w:val="none" w:sz="0" w:space="0" w:color="auto"/>
                    <w:bottom w:val="none" w:sz="0" w:space="0" w:color="auto"/>
                    <w:right w:val="none" w:sz="0" w:space="0" w:color="auto"/>
                  </w:divBdr>
                </w:div>
                <w:div w:id="1224100091">
                  <w:marLeft w:val="0"/>
                  <w:marRight w:val="0"/>
                  <w:marTop w:val="0"/>
                  <w:marBottom w:val="0"/>
                  <w:divBdr>
                    <w:top w:val="none" w:sz="0" w:space="0" w:color="auto"/>
                    <w:left w:val="none" w:sz="0" w:space="0" w:color="auto"/>
                    <w:bottom w:val="none" w:sz="0" w:space="0" w:color="auto"/>
                    <w:right w:val="none" w:sz="0" w:space="0" w:color="auto"/>
                  </w:divBdr>
                </w:div>
                <w:div w:id="1780372201">
                  <w:marLeft w:val="0"/>
                  <w:marRight w:val="0"/>
                  <w:marTop w:val="0"/>
                  <w:marBottom w:val="0"/>
                  <w:divBdr>
                    <w:top w:val="none" w:sz="0" w:space="0" w:color="auto"/>
                    <w:left w:val="none" w:sz="0" w:space="0" w:color="auto"/>
                    <w:bottom w:val="none" w:sz="0" w:space="0" w:color="auto"/>
                    <w:right w:val="none" w:sz="0" w:space="0" w:color="auto"/>
                  </w:divBdr>
                </w:div>
                <w:div w:id="1335038815">
                  <w:marLeft w:val="0"/>
                  <w:marRight w:val="0"/>
                  <w:marTop w:val="0"/>
                  <w:marBottom w:val="0"/>
                  <w:divBdr>
                    <w:top w:val="none" w:sz="0" w:space="0" w:color="auto"/>
                    <w:left w:val="none" w:sz="0" w:space="0" w:color="auto"/>
                    <w:bottom w:val="none" w:sz="0" w:space="0" w:color="auto"/>
                    <w:right w:val="none" w:sz="0" w:space="0" w:color="auto"/>
                  </w:divBdr>
                </w:div>
                <w:div w:id="861670569">
                  <w:marLeft w:val="0"/>
                  <w:marRight w:val="0"/>
                  <w:marTop w:val="0"/>
                  <w:marBottom w:val="0"/>
                  <w:divBdr>
                    <w:top w:val="none" w:sz="0" w:space="0" w:color="auto"/>
                    <w:left w:val="none" w:sz="0" w:space="0" w:color="auto"/>
                    <w:bottom w:val="none" w:sz="0" w:space="0" w:color="auto"/>
                    <w:right w:val="none" w:sz="0" w:space="0" w:color="auto"/>
                  </w:divBdr>
                </w:div>
                <w:div w:id="862400978">
                  <w:marLeft w:val="0"/>
                  <w:marRight w:val="0"/>
                  <w:marTop w:val="0"/>
                  <w:marBottom w:val="0"/>
                  <w:divBdr>
                    <w:top w:val="none" w:sz="0" w:space="0" w:color="auto"/>
                    <w:left w:val="none" w:sz="0" w:space="0" w:color="auto"/>
                    <w:bottom w:val="none" w:sz="0" w:space="0" w:color="auto"/>
                    <w:right w:val="none" w:sz="0" w:space="0" w:color="auto"/>
                  </w:divBdr>
                </w:div>
                <w:div w:id="1409501873">
                  <w:marLeft w:val="0"/>
                  <w:marRight w:val="0"/>
                  <w:marTop w:val="0"/>
                  <w:marBottom w:val="0"/>
                  <w:divBdr>
                    <w:top w:val="none" w:sz="0" w:space="0" w:color="auto"/>
                    <w:left w:val="none" w:sz="0" w:space="0" w:color="auto"/>
                    <w:bottom w:val="none" w:sz="0" w:space="0" w:color="auto"/>
                    <w:right w:val="none" w:sz="0" w:space="0" w:color="auto"/>
                  </w:divBdr>
                </w:div>
                <w:div w:id="14307199">
                  <w:marLeft w:val="0"/>
                  <w:marRight w:val="0"/>
                  <w:marTop w:val="0"/>
                  <w:marBottom w:val="0"/>
                  <w:divBdr>
                    <w:top w:val="none" w:sz="0" w:space="0" w:color="auto"/>
                    <w:left w:val="none" w:sz="0" w:space="0" w:color="auto"/>
                    <w:bottom w:val="none" w:sz="0" w:space="0" w:color="auto"/>
                    <w:right w:val="none" w:sz="0" w:space="0" w:color="auto"/>
                  </w:divBdr>
                </w:div>
                <w:div w:id="15802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30376">
          <w:marLeft w:val="0"/>
          <w:marRight w:val="0"/>
          <w:marTop w:val="0"/>
          <w:marBottom w:val="0"/>
          <w:divBdr>
            <w:top w:val="none" w:sz="0" w:space="0" w:color="auto"/>
            <w:left w:val="none" w:sz="0" w:space="0" w:color="auto"/>
            <w:bottom w:val="none" w:sz="0" w:space="0" w:color="auto"/>
            <w:right w:val="none" w:sz="0" w:space="0" w:color="auto"/>
          </w:divBdr>
          <w:divsChild>
            <w:div w:id="1065297634">
              <w:marLeft w:val="0"/>
              <w:marRight w:val="0"/>
              <w:marTop w:val="0"/>
              <w:marBottom w:val="0"/>
              <w:divBdr>
                <w:top w:val="none" w:sz="0" w:space="0" w:color="auto"/>
                <w:left w:val="none" w:sz="0" w:space="0" w:color="auto"/>
                <w:bottom w:val="none" w:sz="0" w:space="0" w:color="auto"/>
                <w:right w:val="none" w:sz="0" w:space="0" w:color="auto"/>
              </w:divBdr>
              <w:divsChild>
                <w:div w:id="833448666">
                  <w:marLeft w:val="0"/>
                  <w:marRight w:val="0"/>
                  <w:marTop w:val="0"/>
                  <w:marBottom w:val="0"/>
                  <w:divBdr>
                    <w:top w:val="none" w:sz="0" w:space="0" w:color="auto"/>
                    <w:left w:val="none" w:sz="0" w:space="0" w:color="auto"/>
                    <w:bottom w:val="none" w:sz="0" w:space="0" w:color="auto"/>
                    <w:right w:val="none" w:sz="0" w:space="0" w:color="auto"/>
                  </w:divBdr>
                </w:div>
                <w:div w:id="1333071353">
                  <w:marLeft w:val="0"/>
                  <w:marRight w:val="0"/>
                  <w:marTop w:val="0"/>
                  <w:marBottom w:val="0"/>
                  <w:divBdr>
                    <w:top w:val="none" w:sz="0" w:space="0" w:color="auto"/>
                    <w:left w:val="none" w:sz="0" w:space="0" w:color="auto"/>
                    <w:bottom w:val="none" w:sz="0" w:space="0" w:color="auto"/>
                    <w:right w:val="none" w:sz="0" w:space="0" w:color="auto"/>
                  </w:divBdr>
                </w:div>
                <w:div w:id="488441390">
                  <w:marLeft w:val="0"/>
                  <w:marRight w:val="0"/>
                  <w:marTop w:val="0"/>
                  <w:marBottom w:val="0"/>
                  <w:divBdr>
                    <w:top w:val="none" w:sz="0" w:space="0" w:color="auto"/>
                    <w:left w:val="none" w:sz="0" w:space="0" w:color="auto"/>
                    <w:bottom w:val="none" w:sz="0" w:space="0" w:color="auto"/>
                    <w:right w:val="none" w:sz="0" w:space="0" w:color="auto"/>
                  </w:divBdr>
                </w:div>
                <w:div w:id="198475643">
                  <w:marLeft w:val="0"/>
                  <w:marRight w:val="0"/>
                  <w:marTop w:val="0"/>
                  <w:marBottom w:val="0"/>
                  <w:divBdr>
                    <w:top w:val="none" w:sz="0" w:space="0" w:color="auto"/>
                    <w:left w:val="none" w:sz="0" w:space="0" w:color="auto"/>
                    <w:bottom w:val="none" w:sz="0" w:space="0" w:color="auto"/>
                    <w:right w:val="none" w:sz="0" w:space="0" w:color="auto"/>
                  </w:divBdr>
                </w:div>
                <w:div w:id="911895126">
                  <w:marLeft w:val="0"/>
                  <w:marRight w:val="0"/>
                  <w:marTop w:val="0"/>
                  <w:marBottom w:val="0"/>
                  <w:divBdr>
                    <w:top w:val="none" w:sz="0" w:space="0" w:color="auto"/>
                    <w:left w:val="none" w:sz="0" w:space="0" w:color="auto"/>
                    <w:bottom w:val="none" w:sz="0" w:space="0" w:color="auto"/>
                    <w:right w:val="none" w:sz="0" w:space="0" w:color="auto"/>
                  </w:divBdr>
                </w:div>
                <w:div w:id="2134250119">
                  <w:marLeft w:val="0"/>
                  <w:marRight w:val="0"/>
                  <w:marTop w:val="0"/>
                  <w:marBottom w:val="0"/>
                  <w:divBdr>
                    <w:top w:val="none" w:sz="0" w:space="0" w:color="auto"/>
                    <w:left w:val="none" w:sz="0" w:space="0" w:color="auto"/>
                    <w:bottom w:val="none" w:sz="0" w:space="0" w:color="auto"/>
                    <w:right w:val="none" w:sz="0" w:space="0" w:color="auto"/>
                  </w:divBdr>
                </w:div>
                <w:div w:id="1355035230">
                  <w:marLeft w:val="0"/>
                  <w:marRight w:val="0"/>
                  <w:marTop w:val="0"/>
                  <w:marBottom w:val="0"/>
                  <w:divBdr>
                    <w:top w:val="none" w:sz="0" w:space="0" w:color="auto"/>
                    <w:left w:val="none" w:sz="0" w:space="0" w:color="auto"/>
                    <w:bottom w:val="none" w:sz="0" w:space="0" w:color="auto"/>
                    <w:right w:val="none" w:sz="0" w:space="0" w:color="auto"/>
                  </w:divBdr>
                </w:div>
                <w:div w:id="1442340559">
                  <w:marLeft w:val="0"/>
                  <w:marRight w:val="0"/>
                  <w:marTop w:val="0"/>
                  <w:marBottom w:val="0"/>
                  <w:divBdr>
                    <w:top w:val="none" w:sz="0" w:space="0" w:color="auto"/>
                    <w:left w:val="none" w:sz="0" w:space="0" w:color="auto"/>
                    <w:bottom w:val="none" w:sz="0" w:space="0" w:color="auto"/>
                    <w:right w:val="none" w:sz="0" w:space="0" w:color="auto"/>
                  </w:divBdr>
                </w:div>
                <w:div w:id="1288774164">
                  <w:marLeft w:val="0"/>
                  <w:marRight w:val="0"/>
                  <w:marTop w:val="0"/>
                  <w:marBottom w:val="0"/>
                  <w:divBdr>
                    <w:top w:val="none" w:sz="0" w:space="0" w:color="auto"/>
                    <w:left w:val="none" w:sz="0" w:space="0" w:color="auto"/>
                    <w:bottom w:val="none" w:sz="0" w:space="0" w:color="auto"/>
                    <w:right w:val="none" w:sz="0" w:space="0" w:color="auto"/>
                  </w:divBdr>
                </w:div>
                <w:div w:id="1845508201">
                  <w:marLeft w:val="0"/>
                  <w:marRight w:val="0"/>
                  <w:marTop w:val="0"/>
                  <w:marBottom w:val="0"/>
                  <w:divBdr>
                    <w:top w:val="none" w:sz="0" w:space="0" w:color="auto"/>
                    <w:left w:val="none" w:sz="0" w:space="0" w:color="auto"/>
                    <w:bottom w:val="none" w:sz="0" w:space="0" w:color="auto"/>
                    <w:right w:val="none" w:sz="0" w:space="0" w:color="auto"/>
                  </w:divBdr>
                </w:div>
                <w:div w:id="969674140">
                  <w:marLeft w:val="0"/>
                  <w:marRight w:val="0"/>
                  <w:marTop w:val="0"/>
                  <w:marBottom w:val="0"/>
                  <w:divBdr>
                    <w:top w:val="none" w:sz="0" w:space="0" w:color="auto"/>
                    <w:left w:val="none" w:sz="0" w:space="0" w:color="auto"/>
                    <w:bottom w:val="none" w:sz="0" w:space="0" w:color="auto"/>
                    <w:right w:val="none" w:sz="0" w:space="0" w:color="auto"/>
                  </w:divBdr>
                </w:div>
                <w:div w:id="438381728">
                  <w:marLeft w:val="0"/>
                  <w:marRight w:val="0"/>
                  <w:marTop w:val="0"/>
                  <w:marBottom w:val="0"/>
                  <w:divBdr>
                    <w:top w:val="none" w:sz="0" w:space="0" w:color="auto"/>
                    <w:left w:val="none" w:sz="0" w:space="0" w:color="auto"/>
                    <w:bottom w:val="none" w:sz="0" w:space="0" w:color="auto"/>
                    <w:right w:val="none" w:sz="0" w:space="0" w:color="auto"/>
                  </w:divBdr>
                </w:div>
                <w:div w:id="216092181">
                  <w:marLeft w:val="0"/>
                  <w:marRight w:val="0"/>
                  <w:marTop w:val="0"/>
                  <w:marBottom w:val="0"/>
                  <w:divBdr>
                    <w:top w:val="none" w:sz="0" w:space="0" w:color="auto"/>
                    <w:left w:val="none" w:sz="0" w:space="0" w:color="auto"/>
                    <w:bottom w:val="none" w:sz="0" w:space="0" w:color="auto"/>
                    <w:right w:val="none" w:sz="0" w:space="0" w:color="auto"/>
                  </w:divBdr>
                </w:div>
                <w:div w:id="573465650">
                  <w:marLeft w:val="0"/>
                  <w:marRight w:val="0"/>
                  <w:marTop w:val="0"/>
                  <w:marBottom w:val="0"/>
                  <w:divBdr>
                    <w:top w:val="none" w:sz="0" w:space="0" w:color="auto"/>
                    <w:left w:val="none" w:sz="0" w:space="0" w:color="auto"/>
                    <w:bottom w:val="none" w:sz="0" w:space="0" w:color="auto"/>
                    <w:right w:val="none" w:sz="0" w:space="0" w:color="auto"/>
                  </w:divBdr>
                </w:div>
                <w:div w:id="1872956170">
                  <w:marLeft w:val="0"/>
                  <w:marRight w:val="0"/>
                  <w:marTop w:val="0"/>
                  <w:marBottom w:val="0"/>
                  <w:divBdr>
                    <w:top w:val="none" w:sz="0" w:space="0" w:color="auto"/>
                    <w:left w:val="none" w:sz="0" w:space="0" w:color="auto"/>
                    <w:bottom w:val="none" w:sz="0" w:space="0" w:color="auto"/>
                    <w:right w:val="none" w:sz="0" w:space="0" w:color="auto"/>
                  </w:divBdr>
                </w:div>
                <w:div w:id="10302235">
                  <w:marLeft w:val="0"/>
                  <w:marRight w:val="0"/>
                  <w:marTop w:val="0"/>
                  <w:marBottom w:val="0"/>
                  <w:divBdr>
                    <w:top w:val="none" w:sz="0" w:space="0" w:color="auto"/>
                    <w:left w:val="none" w:sz="0" w:space="0" w:color="auto"/>
                    <w:bottom w:val="none" w:sz="0" w:space="0" w:color="auto"/>
                    <w:right w:val="none" w:sz="0" w:space="0" w:color="auto"/>
                  </w:divBdr>
                </w:div>
                <w:div w:id="631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397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29">
          <w:marLeft w:val="0"/>
          <w:marRight w:val="0"/>
          <w:marTop w:val="0"/>
          <w:marBottom w:val="0"/>
          <w:divBdr>
            <w:top w:val="none" w:sz="0" w:space="0" w:color="auto"/>
            <w:left w:val="none" w:sz="0" w:space="0" w:color="auto"/>
            <w:bottom w:val="none" w:sz="0" w:space="0" w:color="auto"/>
            <w:right w:val="none" w:sz="0" w:space="0" w:color="auto"/>
          </w:divBdr>
        </w:div>
        <w:div w:id="706612461">
          <w:marLeft w:val="0"/>
          <w:marRight w:val="0"/>
          <w:marTop w:val="0"/>
          <w:marBottom w:val="0"/>
          <w:divBdr>
            <w:top w:val="none" w:sz="0" w:space="0" w:color="auto"/>
            <w:left w:val="none" w:sz="0" w:space="0" w:color="auto"/>
            <w:bottom w:val="none" w:sz="0" w:space="0" w:color="auto"/>
            <w:right w:val="none" w:sz="0" w:space="0" w:color="auto"/>
          </w:divBdr>
        </w:div>
        <w:div w:id="2055958771">
          <w:marLeft w:val="0"/>
          <w:marRight w:val="0"/>
          <w:marTop w:val="0"/>
          <w:marBottom w:val="0"/>
          <w:divBdr>
            <w:top w:val="none" w:sz="0" w:space="0" w:color="auto"/>
            <w:left w:val="none" w:sz="0" w:space="0" w:color="auto"/>
            <w:bottom w:val="none" w:sz="0" w:space="0" w:color="auto"/>
            <w:right w:val="none" w:sz="0" w:space="0" w:color="auto"/>
          </w:divBdr>
        </w:div>
        <w:div w:id="1061637003">
          <w:marLeft w:val="0"/>
          <w:marRight w:val="0"/>
          <w:marTop w:val="0"/>
          <w:marBottom w:val="0"/>
          <w:divBdr>
            <w:top w:val="none" w:sz="0" w:space="0" w:color="auto"/>
            <w:left w:val="none" w:sz="0" w:space="0" w:color="auto"/>
            <w:bottom w:val="none" w:sz="0" w:space="0" w:color="auto"/>
            <w:right w:val="none" w:sz="0" w:space="0" w:color="auto"/>
          </w:divBdr>
        </w:div>
        <w:div w:id="540900411">
          <w:marLeft w:val="0"/>
          <w:marRight w:val="0"/>
          <w:marTop w:val="0"/>
          <w:marBottom w:val="0"/>
          <w:divBdr>
            <w:top w:val="none" w:sz="0" w:space="0" w:color="auto"/>
            <w:left w:val="none" w:sz="0" w:space="0" w:color="auto"/>
            <w:bottom w:val="none" w:sz="0" w:space="0" w:color="auto"/>
            <w:right w:val="none" w:sz="0" w:space="0" w:color="auto"/>
          </w:divBdr>
        </w:div>
        <w:div w:id="459156503">
          <w:marLeft w:val="0"/>
          <w:marRight w:val="0"/>
          <w:marTop w:val="0"/>
          <w:marBottom w:val="0"/>
          <w:divBdr>
            <w:top w:val="none" w:sz="0" w:space="0" w:color="auto"/>
            <w:left w:val="none" w:sz="0" w:space="0" w:color="auto"/>
            <w:bottom w:val="none" w:sz="0" w:space="0" w:color="auto"/>
            <w:right w:val="none" w:sz="0" w:space="0" w:color="auto"/>
          </w:divBdr>
        </w:div>
        <w:div w:id="1985962765">
          <w:marLeft w:val="0"/>
          <w:marRight w:val="0"/>
          <w:marTop w:val="0"/>
          <w:marBottom w:val="0"/>
          <w:divBdr>
            <w:top w:val="none" w:sz="0" w:space="0" w:color="auto"/>
            <w:left w:val="none" w:sz="0" w:space="0" w:color="auto"/>
            <w:bottom w:val="none" w:sz="0" w:space="0" w:color="auto"/>
            <w:right w:val="none" w:sz="0" w:space="0" w:color="auto"/>
          </w:divBdr>
        </w:div>
        <w:div w:id="58553688">
          <w:marLeft w:val="0"/>
          <w:marRight w:val="0"/>
          <w:marTop w:val="0"/>
          <w:marBottom w:val="0"/>
          <w:divBdr>
            <w:top w:val="none" w:sz="0" w:space="0" w:color="auto"/>
            <w:left w:val="none" w:sz="0" w:space="0" w:color="auto"/>
            <w:bottom w:val="none" w:sz="0" w:space="0" w:color="auto"/>
            <w:right w:val="none" w:sz="0" w:space="0" w:color="auto"/>
          </w:divBdr>
        </w:div>
      </w:divsChild>
    </w:div>
    <w:div w:id="2089114073">
      <w:bodyDiv w:val="1"/>
      <w:marLeft w:val="0"/>
      <w:marRight w:val="0"/>
      <w:marTop w:val="0"/>
      <w:marBottom w:val="0"/>
      <w:divBdr>
        <w:top w:val="none" w:sz="0" w:space="0" w:color="auto"/>
        <w:left w:val="none" w:sz="0" w:space="0" w:color="auto"/>
        <w:bottom w:val="none" w:sz="0" w:space="0" w:color="auto"/>
        <w:right w:val="none" w:sz="0" w:space="0" w:color="auto"/>
      </w:divBdr>
    </w:div>
    <w:div w:id="2123449494">
      <w:bodyDiv w:val="1"/>
      <w:marLeft w:val="0"/>
      <w:marRight w:val="0"/>
      <w:marTop w:val="0"/>
      <w:marBottom w:val="0"/>
      <w:divBdr>
        <w:top w:val="none" w:sz="0" w:space="0" w:color="auto"/>
        <w:left w:val="none" w:sz="0" w:space="0" w:color="auto"/>
        <w:bottom w:val="none" w:sz="0" w:space="0" w:color="auto"/>
        <w:right w:val="none" w:sz="0" w:space="0" w:color="auto"/>
      </w:divBdr>
      <w:divsChild>
        <w:div w:id="1588034808">
          <w:marLeft w:val="0"/>
          <w:marRight w:val="0"/>
          <w:marTop w:val="0"/>
          <w:marBottom w:val="0"/>
          <w:divBdr>
            <w:top w:val="none" w:sz="0" w:space="0" w:color="auto"/>
            <w:left w:val="none" w:sz="0" w:space="0" w:color="auto"/>
            <w:bottom w:val="none" w:sz="0" w:space="0" w:color="auto"/>
            <w:right w:val="none" w:sz="0" w:space="0" w:color="auto"/>
          </w:divBdr>
        </w:div>
        <w:div w:id="1954508213">
          <w:marLeft w:val="0"/>
          <w:marRight w:val="0"/>
          <w:marTop w:val="0"/>
          <w:marBottom w:val="0"/>
          <w:divBdr>
            <w:top w:val="none" w:sz="0" w:space="0" w:color="auto"/>
            <w:left w:val="none" w:sz="0" w:space="0" w:color="auto"/>
            <w:bottom w:val="none" w:sz="0" w:space="0" w:color="auto"/>
            <w:right w:val="none" w:sz="0" w:space="0" w:color="auto"/>
          </w:divBdr>
        </w:div>
        <w:div w:id="1404180499">
          <w:marLeft w:val="0"/>
          <w:marRight w:val="0"/>
          <w:marTop w:val="0"/>
          <w:marBottom w:val="0"/>
          <w:divBdr>
            <w:top w:val="none" w:sz="0" w:space="0" w:color="auto"/>
            <w:left w:val="none" w:sz="0" w:space="0" w:color="auto"/>
            <w:bottom w:val="none" w:sz="0" w:space="0" w:color="auto"/>
            <w:right w:val="none" w:sz="0" w:space="0" w:color="auto"/>
          </w:divBdr>
        </w:div>
        <w:div w:id="789014060">
          <w:marLeft w:val="0"/>
          <w:marRight w:val="0"/>
          <w:marTop w:val="0"/>
          <w:marBottom w:val="0"/>
          <w:divBdr>
            <w:top w:val="none" w:sz="0" w:space="0" w:color="auto"/>
            <w:left w:val="none" w:sz="0" w:space="0" w:color="auto"/>
            <w:bottom w:val="none" w:sz="0" w:space="0" w:color="auto"/>
            <w:right w:val="none" w:sz="0" w:space="0" w:color="auto"/>
          </w:divBdr>
        </w:div>
        <w:div w:id="1360662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20</Pages>
  <Words>5918</Words>
  <Characters>33734</Characters>
  <Application>Microsoft Macintosh Word</Application>
  <DocSecurity>0</DocSecurity>
  <Lines>281</Lines>
  <Paragraphs>67</Paragraphs>
  <ScaleCrop>false</ScaleCrop>
  <Company>Uni</Company>
  <LinksUpToDate>false</LinksUpToDate>
  <CharactersWithSpaces>41427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Colloque dialogue des juges 26-27 septembre 2013</dc:title>
  <dc:subject/>
  <dc:creator>Jörg GERKRATH</dc:creator>
  <cp:keywords/>
  <dc:description/>
  <cp:lastModifiedBy>Jörg GERKRATH</cp:lastModifiedBy>
  <cp:revision>11</cp:revision>
  <cp:lastPrinted>2013-09-16T09:57:00Z</cp:lastPrinted>
  <dcterms:created xsi:type="dcterms:W3CDTF">2013-11-24T14:26:00Z</dcterms:created>
  <dcterms:modified xsi:type="dcterms:W3CDTF">2014-02-15T05:05:00Z</dcterms:modified>
</cp:coreProperties>
</file>